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above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i1</w:t>
                  </w:r>
                </w:p>
              </w:tc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i2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i3</w:t>
                  </w:r>
                </w:p>
              </w:tc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i4</w:t>
                  </w:r>
                </w:p>
              </w:tc>
            </w:tr>
          </w:tbl>
          <w:p>
            <w:pPr>
              <w:widowControl w:val="0"/>
            </w:pPr>
            <w:r>
              <w:rPr>
                <w:sz w:val="20"/>
              </w:rPr>
              <w:t xml:space="preserve">below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side</w:t>
            </w:r>
          </w:p>
        </w:tc>
      </w:tr>
      <w:tr>
        <w:tc>
          <w:tcPr>
            <w:tcW w:w="4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i1</w:t>
                  </w:r>
                </w:p>
              </w:tc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i2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i3</w:t>
                  </w:r>
                </w:p>
              </w:tc>
              <w:tc>
                <w:tcPr>
                  <w:tcW w:w="2000" w:type="dxa"/>
                </w:tcPr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i4</w:t>
                  </w:r>
                </w:p>
              </w:tc>
            </w:tr>
          </w:tbl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s2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AFTER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1134" w:right="1134" w:bottom="1134" w:left="1134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