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0"/>
        </w:rPr>
      </w:pPr>
      <w:r>
        <w:rPr>
          <w:sz w:val="20"/>
        </w:rPr>
        <w:t>A-before</w:t>
      </w:r>
      <w:r/>
      <w:r>
        <w:rPr>
          <w:sz w:val="20"/>
        </w:rPr>
        <mc:AlternateContent>
          <mc:Choice Requires="wps">
            <w:drawing>
              <wp:inline distT="0" distB="0" distL="0" distR="0">
                <wp:extent cx="1143000" cy="457200"/>
                <wp:effectExtent l="0" t="0" r="0" b="0"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star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INSIDE THE BOX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36.05pt;width:89.95pt;height:35.95pt;mso-wrap-style:square;v-text-anchor:top;mso-position-vertical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star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INSIDE THE BOX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sz w:val="20"/>
        </w:rPr>
        <w:t>A-after</w:t>
      </w:r>
    </w:p>
    <w:p>
      <w:pPr>
        <w:pStyle w:val="Normal"/>
        <w:bidi w:val="0"/>
        <w:jc w:val="start"/>
        <w:rPr>
          <w:sz w:val="20"/>
        </w:rPr>
      </w:pPr>
      <w:r>
        <w:rPr>
          <w:sz w:val="20"/>
        </w:rPr>
        <w:t>B-before</w:t>
      </w:r>
      <w:r>
        <w:rPr/>
        <mc:AlternateContent>
          <mc:Choice Requires="wps">
            <w:drawing>
              <wp:inline distT="0" distB="0" distL="0" distR="0">
                <wp:extent cx="1143000" cy="457200"/>
                <wp:effectExtent l="114300" t="0" r="11430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star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VMLIN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  <w:r>
        <w:rPr>
          <w:sz w:val="20"/>
        </w:rPr>
        <w:t>B-after</w:t>
      </w:r>
    </w:p>
    <w:p>
      <w:pPr>
        <w:pStyle w:val="Normal"/>
        <w:bidi w:val="0"/>
        <w:jc w:val="start"/>
        <w:rPr>
          <w:sz w:val="20"/>
        </w:rPr>
      </w:pPr>
      <w:r>
        <w:rPr>
          <w:sz w:val="20"/>
        </w:rPr>
        <w:t>C-beforeC-after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