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w:t>
      </w:r>
    </w:p>
    <w:p>
      <w:pPr>
        <w:spacing w:after="60" w:before="0" w:line="276"/>
      </w:pPr>
      <w:r>
        <w:rPr>
          <w:rFonts w:ascii="Calibri" w:cs="Calibri" w:eastAsia="Calibri" w:hAnsi="Calibri"/>
          <w:b/>
          <w:bCs/>
          <w:color w:val="0D274D"/>
          <w:sz w:val="40"/>
          <w:szCs w:val="40"/>
        </w:rPr>
        <w:t xml:space="preserve">HMF Design Clinic Grading Guide</w:t>
      </w:r>
    </w:p>
    <w:p>
      <w:pPr>
        <w:spacing w:after="140" w:before="0" w:line="276"/>
      </w:pPr>
      <w:r>
        <w:rPr>
          <w:rFonts w:ascii="Calibri" w:cs="Calibri" w:eastAsia="Calibri" w:hAnsi="Calibri"/>
          <w:color w:val="3A4C63"/>
          <w:sz w:val="24"/>
          <w:szCs w:val="24"/>
        </w:rPr>
        <w:t xml:space="preserve">The rubric proctors use to grade each team's submitted Workbook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How it works.  </w:t>
            </w:r>
            <w:r>
              <w:rPr>
                <w:rFonts w:ascii="Calibri" w:cs="Calibri" w:eastAsia="Calibri" w:hAnsi="Calibri"/>
                <w:color w:val="33465F"/>
                <w:sz w:val="20"/>
                <w:szCs w:val="20"/>
              </w:rPr>
              <w:t xml:space="preserve">This is a reference guide, not a worksheet. It defines, for every answer, the levels of quality mapped to a score, so any proctor grades consistently. Read a team's answer, classify it against the rubric, and take the score for that level. Record the scores on the Proctor evaluation page at the back of the team's Workbook. Use the Solution Guide for the wider model answers.</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scoring model</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How the score is built</w:t>
      </w:r>
    </w:p>
    <w:p>
      <w:pPr>
        <w:spacing w:after="100" w:before="0" w:line="276"/>
      </w:pPr>
      <w:r>
        <w:rPr>
          <w:rFonts w:ascii="Calibri" w:cs="Calibri" w:eastAsia="Calibri" w:hAnsi="Calibri"/>
          <w:color w:val="3A4C63"/>
          <w:sz w:val="21"/>
          <w:szCs w:val="21"/>
        </w:rPr>
        <w:t xml:space="preserve">Every pain point is graded on the three dimensions. Problem Identifier is worth 5, Solution Designer 10, and Value Communicator 10, for 25 per pain point. Four pain points make a case study score out of 100, and the four case studies make a cumulative score out of 400.</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r>
              <w:rPr>
                <w:rFonts w:ascii="Calibri" w:cs="Calibri" w:eastAsia="Calibri" w:hAnsi="Calibri"/>
                <w:b/>
                <w:bCs/>
                <w:color w:val="036C8F"/>
                <w:sz w:val="14"/>
                <w:szCs w:val="14"/>
              </w:rPr>
              <w:t xml:space="preserve">  out of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How to use this guide.  </w:t>
            </w:r>
            <w:r>
              <w:rPr>
                <w:rFonts w:ascii="Calibri" w:cs="Calibri" w:eastAsia="Calibri" w:hAnsi="Calibri"/>
                <w:color w:val="33465F"/>
                <w:sz w:val="20"/>
                <w:szCs w:val="20"/>
              </w:rPr>
              <w:t xml:space="preserve">For each answer, decide which level in the rubric it matches on each dimension, from Complete down to Minimal, and take the points for that level. Add the three dimensions for the pain point total, and the four pain points for the case study score. Grade the reasoning, not the wording: a different but well-argued product can still earn marks if it fits Cedarline. Record every score on the team's Proctor evaluation page.</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rubric</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Levels of an answer, by dimension</w:t>
      </w:r>
    </w:p>
    <w:p>
      <w:pPr>
        <w:spacing w:after="60" w:before="0" w:line="276"/>
      </w:pPr>
      <w:r>
        <w:rPr>
          <w:rFonts w:ascii="Calibri" w:cs="Calibri" w:eastAsia="Calibri" w:hAnsi="Calibri"/>
          <w:color w:val="3A4C63"/>
          <w:sz w:val="21"/>
          <w:szCs w:val="21"/>
        </w:rPr>
        <w:t xml:space="preserve">Each dimension has four levels. Match the team's written answer to the level it best fits, and award points from that level's range. These levels apply to every pain point; the full-marks answer for each specific pain point is given in the answer key that follows.</w:t>
      </w:r>
    </w:p>
    <w:p>
      <w:pPr>
        <w:spacing w:after="20" w:before="170" w:line="276"/>
      </w:pPr>
      <w:r>
        <w:rPr>
          <w:rFonts w:ascii="Calibri" w:cs="Calibri" w:eastAsia="Calibri" w:hAnsi="Calibri"/>
          <w:b/>
          <w:bCs/>
          <w:color w:val="4A3AA8"/>
          <w:sz w:val="23"/>
          <w:szCs w:val="23"/>
        </w:rPr>
        <w:t xml:space="preserve">Problem Identifier</w:t>
      </w:r>
      <w:r>
        <w:rPr>
          <w:rFonts w:ascii="Calibri" w:cs="Calibri" w:eastAsia="Calibri" w:hAnsi="Calibri"/>
          <w:b/>
          <w:bCs/>
          <w:caps/>
          <w:color w:val="036C8F"/>
          <w:sz w:val="14"/>
          <w:szCs w:val="14"/>
        </w:rPr>
        <w:t xml:space="preserve">   OUT OF 5</w:t>
      </w:r>
    </w:p>
    <w:p>
      <w:pPr>
        <w:spacing w:after="50" w:before="0" w:line="276"/>
      </w:pPr>
      <w:r>
        <w:rPr>
          <w:rFonts w:ascii="Calibri" w:cs="Calibri" w:eastAsia="Calibri" w:hAnsi="Calibri"/>
          <w:i/>
          <w:iCs/>
          <w:color w:val="5A6E86"/>
          <w:sz w:val="18"/>
          <w:szCs w:val="18"/>
        </w:rPr>
        <w:t xml:space="preserve">Did the team identify the real requirement behind the concern?</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1050"/>
        <w:gridCol w:w="6810"/>
      </w:tblGrid>
      <w:tr>
        <w:trPr>
          <w:tblHeader/>
        </w:trPr>
        <w:tc>
          <w:tcPr>
            <w:tcW w:type="dxa" w:w="15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0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Points</w:t>
            </w:r>
          </w:p>
        </w:tc>
        <w:tc>
          <w:tcPr>
            <w:tcW w:type="dxa" w:w="68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the team's answer looks like at this level</w:t>
            </w:r>
          </w:p>
        </w:tc>
      </w:tr>
      <w:tr>
        <w:tc>
          <w:tcPr>
            <w:tcW w:type="dxa" w:w="150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Complete</w:t>
            </w:r>
          </w:p>
        </w:tc>
        <w:tc>
          <w:tcPr>
            <w:tcW w:type="dxa" w:w="105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5</w:t>
            </w:r>
          </w:p>
        </w:tc>
        <w:tc>
          <w:tcPr>
            <w:tcW w:type="dxa" w:w="68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Pinpoints the underlying requirement or constraint behind the concern, the specific regulation, risk, or operational need, in Cedarline's own context, not just the surface ask.</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Substantial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3 to 4</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Identifies the concern and part of the underlying requirement, but misses some nuance or a constraint.</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1 to 2</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Restates the concern in general terms without naming the requirement behind it.</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Minimal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0</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Misreads the concern, addresses the wrong problem, or leaves it blank.</w:t>
            </w:r>
          </w:p>
        </w:tc>
      </w:tr>
    </w:tbl>
    <w:p>
      <w:pPr>
        <w:spacing w:after="20" w:before="170" w:line="276"/>
      </w:pPr>
      <w:r>
        <w:rPr>
          <w:rFonts w:ascii="Calibri" w:cs="Calibri" w:eastAsia="Calibri" w:hAnsi="Calibri"/>
          <w:b/>
          <w:bCs/>
          <w:color w:val="0B6670"/>
          <w:sz w:val="23"/>
          <w:szCs w:val="23"/>
        </w:rPr>
        <w:t xml:space="preserve">Solution Designer</w:t>
      </w:r>
      <w:r>
        <w:rPr>
          <w:rFonts w:ascii="Calibri" w:cs="Calibri" w:eastAsia="Calibri" w:hAnsi="Calibri"/>
          <w:b/>
          <w:bCs/>
          <w:caps/>
          <w:color w:val="036C8F"/>
          <w:sz w:val="14"/>
          <w:szCs w:val="14"/>
        </w:rPr>
        <w:t xml:space="preserve">   OUT OF 10</w:t>
      </w:r>
    </w:p>
    <w:p>
      <w:pPr>
        <w:spacing w:after="50" w:before="0" w:line="276"/>
      </w:pPr>
      <w:r>
        <w:rPr>
          <w:rFonts w:ascii="Calibri" w:cs="Calibri" w:eastAsia="Calibri" w:hAnsi="Calibri"/>
          <w:i/>
          <w:iCs/>
          <w:color w:val="5A6E86"/>
          <w:sz w:val="18"/>
          <w:szCs w:val="18"/>
        </w:rPr>
        <w:t xml:space="preserve">Did the team recommend the right Cisco solution and an approach that fits?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1050"/>
        <w:gridCol w:w="6810"/>
      </w:tblGrid>
      <w:tr>
        <w:trPr>
          <w:tblHeader/>
        </w:trPr>
        <w:tc>
          <w:tcPr>
            <w:tcW w:type="dxa" w:w="15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0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Points</w:t>
            </w:r>
          </w:p>
        </w:tc>
        <w:tc>
          <w:tcPr>
            <w:tcW w:type="dxa" w:w="68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the team's answer looks like at this level</w:t>
            </w:r>
          </w:p>
        </w:tc>
      </w:tr>
      <w:tr>
        <w:tc>
          <w:tcPr>
            <w:tcW w:type="dxa" w:w="150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Complete</w:t>
            </w:r>
          </w:p>
        </w:tc>
        <w:tc>
          <w:tcPr>
            <w:tcW w:type="dxa" w:w="105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8 to 10</w:t>
            </w:r>
          </w:p>
        </w:tc>
        <w:tc>
          <w:tcPr>
            <w:tcW w:type="dxa" w:w="68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Names the right Cisco product or platform and the specific capability, with an architecture or approach that fits Cedarline and the wider Hybrid Mesh Firewall design.</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Substantial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5 to 7</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Names the right product but is light on the capability, the architecture, or how it fits Cedarline.</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2 to 4</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Partly right: a loosely related product, or a product named with no approach or capability.</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Minimal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0 to 1</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Wrong product, a generic firewall with no specifics, or left blank.</w:t>
            </w:r>
          </w:p>
        </w:tc>
      </w:tr>
    </w:tbl>
    <w:p>
      <w:pPr>
        <w:spacing w:after="20" w:before="170" w:line="276"/>
      </w:pPr>
      <w:r>
        <w:rPr>
          <w:rFonts w:ascii="Calibri" w:cs="Calibri" w:eastAsia="Calibri" w:hAnsi="Calibri"/>
          <w:b/>
          <w:bCs/>
          <w:color w:val="9A6516"/>
          <w:sz w:val="23"/>
          <w:szCs w:val="23"/>
        </w:rPr>
        <w:t xml:space="preserve">Value Communicator</w:t>
      </w:r>
      <w:r>
        <w:rPr>
          <w:rFonts w:ascii="Calibri" w:cs="Calibri" w:eastAsia="Calibri" w:hAnsi="Calibri"/>
          <w:b/>
          <w:bCs/>
          <w:caps/>
          <w:color w:val="036C8F"/>
          <w:sz w:val="14"/>
          <w:szCs w:val="14"/>
        </w:rPr>
        <w:t xml:space="preserve">   OUT OF 10</w:t>
      </w:r>
    </w:p>
    <w:p>
      <w:pPr>
        <w:spacing w:after="50" w:before="0" w:line="276"/>
      </w:pPr>
      <w:r>
        <w:rPr>
          <w:rFonts w:ascii="Calibri" w:cs="Calibri" w:eastAsia="Calibri" w:hAnsi="Calibri"/>
          <w:i/>
          <w:iCs/>
          <w:color w:val="5A6E86"/>
          <w:sz w:val="18"/>
          <w:szCs w:val="18"/>
        </w:rPr>
        <w:t xml:space="preserve">Did the team explain how it works and the outcome for Cedarline?</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1050"/>
        <w:gridCol w:w="6810"/>
      </w:tblGrid>
      <w:tr>
        <w:trPr>
          <w:tblHeader/>
        </w:trPr>
        <w:tc>
          <w:tcPr>
            <w:tcW w:type="dxa" w:w="15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0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Points</w:t>
            </w:r>
          </w:p>
        </w:tc>
        <w:tc>
          <w:tcPr>
            <w:tcW w:type="dxa" w:w="68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the team's answer looks like at this level</w:t>
            </w:r>
          </w:p>
        </w:tc>
      </w:tr>
      <w:tr>
        <w:tc>
          <w:tcPr>
            <w:tcW w:type="dxa" w:w="150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Complete</w:t>
            </w:r>
          </w:p>
        </w:tc>
        <w:tc>
          <w:tcPr>
            <w:tcW w:type="dxa" w:w="105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8 to 10</w:t>
            </w:r>
          </w:p>
        </w:tc>
        <w:tc>
          <w:tcPr>
            <w:tcW w:type="dxa" w:w="68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Explains clearly how the solution works and states the concrete Cedarline outcome, in language the customer would understand.</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Substantial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5 to 7</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Explains how it works but is thin on the outcome, or states an outcome without explaining how.</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2 to 4</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Vague or generic: asserts it helps without explaining how or naming a specific outcome.</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Minimal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0 to 1</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No explanation and no outcome, or left blank.</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Overall completion</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From completeness to a score</w:t>
      </w:r>
    </w:p>
    <w:p>
      <w:pPr>
        <w:spacing w:after="80" w:before="0" w:line="276"/>
      </w:pPr>
      <w:r>
        <w:rPr>
          <w:rFonts w:ascii="Calibri" w:cs="Calibri" w:eastAsia="Calibri" w:hAnsi="Calibri"/>
          <w:color w:val="3A4C63"/>
          <w:sz w:val="21"/>
          <w:szCs w:val="21"/>
        </w:rPr>
        <w:t xml:space="preserve">Use these bands to sense-check the totals. A pain point total should reflect how complete the answer is across the three dimensions, and the case study score should reflect the four pain points together.</w:t>
      </w:r>
    </w:p>
    <w:p>
      <w:pPr>
        <w:spacing w:after="50" w:before="150" w:line="276"/>
      </w:pPr>
      <w:r>
        <w:rPr>
          <w:rFonts w:ascii="Calibri" w:cs="Calibri" w:eastAsia="Calibri" w:hAnsi="Calibri"/>
          <w:b/>
          <w:bCs/>
          <w:caps/>
          <w:color w:val="0D274D"/>
          <w:sz w:val="22"/>
          <w:szCs w:val="22"/>
        </w:rPr>
        <w:t xml:space="preserve">Pain point, out of 25</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650"/>
        <w:gridCol w:w="1300"/>
        <w:gridCol w:w="6410"/>
      </w:tblGrid>
      <w:tr>
        <w:trPr>
          <w:tblHeader/>
        </w:trPr>
        <w:tc>
          <w:tcPr>
            <w:tcW w:type="dxa" w:w="16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3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out of 25</w:t>
            </w:r>
          </w:p>
        </w:tc>
        <w:tc>
          <w:tcPr>
            <w:tcW w:type="dxa" w:w="64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it means</w:t>
            </w:r>
          </w:p>
        </w:tc>
      </w:tr>
      <w:tr>
        <w:tc>
          <w:tcPr>
            <w:tcW w:type="dxa" w:w="165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Complete</w:t>
            </w:r>
          </w:p>
        </w:tc>
        <w:tc>
          <w:tcPr>
            <w:tcW w:type="dxa" w:w="130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22 to 25</w:t>
            </w:r>
          </w:p>
        </w:tc>
        <w:tc>
          <w:tcPr>
            <w:tcW w:type="dxa" w:w="64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All three dimensions strong: the requirement, the right solution and approach, and a clear how and outcome.</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Substantial</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16 to 21</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Mostly there, with one dimension light or a gap in the approach or the outcome.</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9 to 15</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Partial across the dimensions: the idea is present but thin, generic, or missing the requirement or the solution.</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Minimal</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0 to 8</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Little relevant content, or the main dimensions left blank.</w:t>
            </w:r>
          </w:p>
        </w:tc>
      </w:tr>
    </w:tbl>
    <w:p>
      <w:pPr>
        <w:spacing w:after="120"/>
      </w:pPr>
      <w:r>
        <w:rPr>
          <w:rFonts w:ascii="Calibri" w:cs="Calibri" w:eastAsia="Calibri" w:hAnsi="Calibri"/>
          <w:color w:val="14263A"/>
          <w:sz w:val="2"/>
          <w:szCs w:val="2"/>
        </w:rPr>
        <w:t xml:space="preserve"/>
      </w:r>
    </w:p>
    <w:p>
      <w:pPr>
        <w:spacing w:after="50" w:before="150" w:line="276"/>
      </w:pPr>
      <w:r>
        <w:rPr>
          <w:rFonts w:ascii="Calibri" w:cs="Calibri" w:eastAsia="Calibri" w:hAnsi="Calibri"/>
          <w:b/>
          <w:bCs/>
          <w:caps/>
          <w:color w:val="0D274D"/>
          <w:sz w:val="22"/>
          <w:szCs w:val="22"/>
        </w:rPr>
        <w:t xml:space="preserve">Case study, out of 100</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650"/>
        <w:gridCol w:w="1300"/>
        <w:gridCol w:w="6410"/>
      </w:tblGrid>
      <w:tr>
        <w:trPr>
          <w:tblHeader/>
        </w:trPr>
        <w:tc>
          <w:tcPr>
            <w:tcW w:type="dxa" w:w="16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3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out of 100</w:t>
            </w:r>
          </w:p>
        </w:tc>
        <w:tc>
          <w:tcPr>
            <w:tcW w:type="dxa" w:w="64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it means</w:t>
            </w:r>
          </w:p>
        </w:tc>
      </w:tr>
      <w:tr>
        <w:tc>
          <w:tcPr>
            <w:tcW w:type="dxa" w:w="165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Exemplary</w:t>
            </w:r>
          </w:p>
        </w:tc>
        <w:tc>
          <w:tcPr>
            <w:tcW w:type="dxa" w:w="130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85 to 100</w:t>
            </w:r>
          </w:p>
        </w:tc>
        <w:tc>
          <w:tcPr>
            <w:tcW w:type="dxa" w:w="64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Consistently complete answers across the four pain points, specific to Cedarline.</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Proficient</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65 to 84</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Solid answers, with some gaps or generic reasoning in places.</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40 to 64</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Partial: the direction is right, but several answers are thin or incomplete.</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Emerging</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under 40</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Mostly incomplete or off-target answers.</w:t>
            </w:r>
          </w:p>
        </w:tc>
      </w:tr>
    </w:tbl>
    <w:p>
      <w:pPr>
        <w:spacing w:after="120"/>
      </w:pPr>
      <w:r>
        <w:rPr>
          <w:rFonts w:ascii="Calibri" w:cs="Calibri" w:eastAsia="Calibri" w:hAnsi="Calibri"/>
          <w:color w:val="14263A"/>
          <w:sz w:val="2"/>
          <w:szCs w:val="2"/>
        </w:rPr>
        <w:t xml:space="preserve"/>
      </w:r>
    </w:p>
    <w:p>
      <w:pPr>
        <w:spacing w:after="50" w:before="150" w:line="276"/>
      </w:pPr>
      <w:r>
        <w:rPr>
          <w:rFonts w:ascii="Calibri" w:cs="Calibri" w:eastAsia="Calibri" w:hAnsi="Calibri"/>
          <w:b/>
          <w:bCs/>
          <w:caps/>
          <w:color w:val="0D274D"/>
          <w:sz w:val="22"/>
          <w:szCs w:val="22"/>
        </w:rPr>
        <w:t xml:space="preserve">Overall grade, out of 400</w:t>
      </w:r>
    </w:p>
    <w:p>
      <w:pPr>
        <w:spacing w:after="60" w:before="0" w:line="276"/>
      </w:pPr>
      <w:r>
        <w:rPr>
          <w:rFonts w:ascii="Calibri" w:cs="Calibri" w:eastAsia="Calibri" w:hAnsi="Calibri"/>
          <w:color w:val="3A4C63"/>
          <w:sz w:val="20"/>
          <w:szCs w:val="20"/>
        </w:rPr>
        <w:t xml:space="preserve">Give the team their overall result as one of these three encouraging categories. Every category is positive; it names where the team is strong and what to build next.</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650"/>
        <w:gridCol w:w="1300"/>
        <w:gridCol w:w="6410"/>
      </w:tblGrid>
      <w:tr>
        <w:trPr>
          <w:tblHeader/>
        </w:trPr>
        <w:tc>
          <w:tcPr>
            <w:tcW w:type="dxa" w:w="16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3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out of 400</w:t>
            </w:r>
          </w:p>
        </w:tc>
        <w:tc>
          <w:tcPr>
            <w:tcW w:type="dxa" w:w="64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it means</w:t>
            </w:r>
          </w:p>
        </w:tc>
      </w:tr>
      <w:tr>
        <w:tc>
          <w:tcPr>
            <w:tcW w:type="dxa" w:w="165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Solution Strategist</w:t>
            </w:r>
          </w:p>
        </w:tc>
        <w:tc>
          <w:tcPr>
            <w:tcW w:type="dxa" w:w="130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300 to 400</w:t>
            </w:r>
          </w:p>
        </w:tc>
        <w:tc>
          <w:tcPr>
            <w:tcW w:type="dxa" w:w="64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Standout work. Across the four case studies the team read the requirements precisely, designed fitting Hybrid Mesh Firewall solutions, and told a clear Cedarline value story.</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Solution Builder</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200 to 299</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Strong, consistent work. The team matched the right solutions across most pain points and communicated real value, with a few answers to sharpen.</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Solution Explorer</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up to 199</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A solid foundation to build on. The team engaged every case study and found real products; the next step is naming the requirement and the outcome more precisely.</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Recording the score.  </w:t>
            </w:r>
            <w:r>
              <w:rPr>
                <w:rFonts w:ascii="Calibri" w:cs="Calibri" w:eastAsia="Calibri" w:hAnsi="Calibri"/>
                <w:color w:val="33465F"/>
                <w:sz w:val="20"/>
                <w:szCs w:val="20"/>
              </w:rPr>
              <w:t xml:space="preserve">This guide is for grading only; it has no spaces to write in. Record each case study score, the overall score out of 400 and its category, and your feedback on the Proctor evaluation page at the back of the team's Workbook.</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How to evaluate a submission</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Working through a Workbook</w:t>
      </w:r>
    </w:p>
    <w:p>
      <w:pPr>
        <w:spacing w:after="100" w:before="0" w:line="276"/>
      </w:pPr>
      <w:r>
        <w:rPr>
          <w:rFonts w:ascii="Calibri" w:cs="Calibri" w:eastAsia="Calibri" w:hAnsi="Calibri"/>
          <w:color w:val="3A4C63"/>
          <w:sz w:val="21"/>
          <w:szCs w:val="21"/>
        </w:rPr>
        <w:t xml:space="preserve">Each team submits a completed Workbook. Work through it one case study at a time, grading every pain point against the rubric and the answer key on the pages that follow.</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Collect each team's Workbook and check that all four case studies have been attempted.</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Take one case study at a time. For each pain point, read the team's Product / platform and Solution Engineer response.</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For each dimension, classify the team's answer into a level using the rubric: Complete, Substantial, Developing or Minimal, comparing against the full-credit answer for that pain point.</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Take the points for the level on each dimension (Problem Identifier out of 5, Solution Designer out of 10, Value Communicator out of 10) and add them for the pain point total out of 25.</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5</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Add the four pain point totals for the case study score out of 100, and read the overall completion band to sense-check the grade.</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6</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Record each case study score and a line of strengths and coaching on the Proctor evaluation page at the back of the team's Workbook.</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7</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Add the four case study scores for the overall score out of 400, note what the team did well and where they can grow, and pass the topology diagram to the SME for review.</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What each dimension looks for.  </w:t>
            </w:r>
            <w:r>
              <w:rPr>
                <w:rFonts w:ascii="Calibri" w:cs="Calibri" w:eastAsia="Calibri" w:hAnsi="Calibri"/>
                <w:color w:val="33465F"/>
                <w:sz w:val="20"/>
                <w:szCs w:val="20"/>
              </w:rPr>
              <w:t xml:space="preserve">Problem Identifier: did the team name the real requirement behind the concern? Solution Designer: did they land on the right product and an approach that fits Cedarline? Value Communicator: did they explain how it works and the outcome? Compare against the answer key, and reward reasoning specific to Cedarline.</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3EC" w:sz="6"/>
              <w:left w:val="single" w:color="CFE3EC" w:sz="30"/>
              <w:bottom w:val="single" w:color="CFE3EC" w:sz="6"/>
              <w:right w:val="single" w:color="CFE3EC" w:sz="6"/>
            </w:tcBorders>
            <w:shd w:fill="F5FBF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Grading alternative answers.  </w:t>
            </w:r>
            <w:r>
              <w:rPr>
                <w:rFonts w:ascii="Calibri" w:cs="Calibri" w:eastAsia="Calibri" w:hAnsi="Calibri"/>
                <w:color w:val="33465F"/>
                <w:sz w:val="20"/>
                <w:szCs w:val="20"/>
              </w:rPr>
              <w:t xml:space="preserve">The full-marks answer shows the primary Cisco fit, but a team may propose a different Hybrid Mesh Firewall component. Each pain point lists the acceptable alternatives under Solution Designer. Award full marks for any acceptable alternative when the reasoning fits Cedarline, partial when the product is related but the approach is thin, and no credit for a generic or wrong product. Grade sound reasoning over the exact product name.</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Worked example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Grading a sample answer, step by step</w:t>
      </w:r>
    </w:p>
    <w:p>
      <w:pPr>
        <w:spacing w:after="100" w:before="0" w:line="276"/>
      </w:pPr>
      <w:r>
        <w:rPr>
          <w:rFonts w:ascii="Calibri" w:cs="Calibri" w:eastAsia="Calibri" w:hAnsi="Calibri"/>
          <w:color w:val="3A4C63"/>
          <w:sz w:val="21"/>
          <w:szCs w:val="21"/>
        </w:rPr>
        <w:t xml:space="preserve">Before you grade real Workbooks, walk through this example. It shows how to move from a team's written answer to a score on one pain point, the same way you will grade all sixteen.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FFFF" w:sz="2"/>
              <w:left w:val="single" w:color="FFFFFF" w:sz="22"/>
              <w:bottom w:val="single" w:color="FFFFFF" w:sz="2"/>
              <w:right w:val="single" w:color="FFFFFF" w:sz="2"/>
            </w:tcBorders>
            <w:shd w:fill="FBFCFE"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pain point.  </w:t>
            </w: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3" w:sz="6"/>
              <w:left w:val="single" w:color="CBD5E3" w:sz="6"/>
              <w:bottom w:val="single" w:color="CBD5E3" w:sz="6"/>
              <w:right w:val="single" w:color="CBD5E3" w:sz="6"/>
            </w:tcBorders>
            <w:tcMar>
              <w:top w:type="dxa" w:w="110"/>
              <w:left w:type="dxa" w:w="160"/>
              <w:bottom w:type="dxa" w:w="110"/>
              <w:right w:type="dxa" w:w="160"/>
            </w:tcMar>
            <w:vAlign w:val="top"/>
          </w:tcPr>
          <w:p>
            <w:pPr>
              <w:spacing w:after="50" w:before="0" w:line="276"/>
            </w:pPr>
            <w:r>
              <w:rPr>
                <w:rFonts w:ascii="Calibri" w:cs="Calibri" w:eastAsia="Calibri" w:hAnsi="Calibri"/>
                <w:b/>
                <w:bCs/>
                <w:caps/>
                <w:color w:val="7E8CA1"/>
                <w:sz w:val="15"/>
                <w:szCs w:val="15"/>
              </w:rPr>
              <w:t xml:space="preserve">The team wrote</w:t>
            </w:r>
          </w:p>
          <w:p>
            <w:pPr>
              <w:spacing w:after="30" w:before="0" w:line="276"/>
            </w:pPr>
            <w:r>
              <w:rPr>
                <w:rFonts w:ascii="Calibri" w:cs="Calibri" w:eastAsia="Calibri" w:hAnsi="Calibri"/>
                <w:b/>
                <w:bCs/>
                <w:color w:val="0D274D"/>
                <w:sz w:val="19"/>
                <w:szCs w:val="19"/>
              </w:rPr>
              <w:t xml:space="preserve">Product / platform.  </w:t>
            </w:r>
            <w:r>
              <w:rPr>
                <w:rFonts w:ascii="Calibri" w:cs="Calibri" w:eastAsia="Calibri" w:hAnsi="Calibri"/>
                <w:color w:val="2A3C52"/>
                <w:sz w:val="19"/>
                <w:szCs w:val="19"/>
              </w:rPr>
              <w:t xml:space="preserve">Cisco AI Defense</w:t>
            </w:r>
          </w:p>
          <w:p>
            <w:pPr>
              <w:spacing w:after="0" w:before="0" w:line="276"/>
            </w:pPr>
            <w:r>
              <w:rPr>
                <w:rFonts w:ascii="Calibri" w:cs="Calibri" w:eastAsia="Calibri" w:hAnsi="Calibri"/>
                <w:b/>
                <w:bCs/>
                <w:color w:val="0D274D"/>
                <w:sz w:val="19"/>
                <w:szCs w:val="19"/>
              </w:rPr>
              <w:t xml:space="preserve">Solution Engineer response.  </w:t>
            </w:r>
            <w:r>
              <w:rPr>
                <w:rFonts w:ascii="Calibri" w:cs="Calibri" w:eastAsia="Calibri" w:hAnsi="Calibri"/>
                <w:color w:val="2A3C52"/>
                <w:sz w:val="19"/>
                <w:szCs w:val="19"/>
              </w:rPr>
              <w:t xml:space="preserve">Cisco AI Defense helps with AI security and can validate our models. It will help us stay compliant with regulations and keep our AI safe.</w:t>
            </w:r>
          </w:p>
        </w:tc>
      </w:tr>
    </w:tbl>
    <w:p>
      <w:pPr>
        <w:spacing w:after="50" w:before="150" w:line="276"/>
      </w:pPr>
      <w:r>
        <w:rPr>
          <w:rFonts w:ascii="Calibri" w:cs="Calibri" w:eastAsia="Calibri" w:hAnsi="Calibri"/>
          <w:b/>
          <w:bCs/>
          <w:caps/>
          <w:color w:val="0D274D"/>
          <w:sz w:val="22"/>
          <w:szCs w:val="22"/>
        </w:rPr>
        <w:t xml:space="preserve">Grade it step by step</w:t>
      </w:r>
    </w:p>
    <w:p>
      <w:pPr>
        <w:spacing w:after="80" w:before="0" w:line="276"/>
      </w:pPr>
      <w:r>
        <w:rPr>
          <w:rFonts w:ascii="Calibri" w:cs="Calibri" w:eastAsia="Calibri" w:hAnsi="Calibri"/>
          <w:b/>
          <w:bCs/>
          <w:color w:val="0D274D"/>
          <w:sz w:val="19"/>
          <w:szCs w:val="19"/>
        </w:rPr>
        <w:t xml:space="preserve">Step 1.  </w:t>
      </w:r>
      <w:r>
        <w:rPr>
          <w:rFonts w:ascii="Calibri" w:cs="Calibri" w:eastAsia="Calibri" w:hAnsi="Calibri"/>
          <w:b/>
          <w:bCs/>
          <w:color w:val="0D274D"/>
          <w:sz w:val="19"/>
          <w:szCs w:val="19"/>
        </w:rPr>
        <w:t xml:space="preserve">Grade the Problem Identifier answer. </w:t>
      </w:r>
      <w:r>
        <w:rPr>
          <w:rFonts w:ascii="Calibri" w:cs="Calibri" w:eastAsia="Calibri" w:hAnsi="Calibri"/>
          <w:color w:val="33465F"/>
          <w:sz w:val="19"/>
          <w:szCs w:val="19"/>
        </w:rPr>
        <w:t xml:space="preserve">It matches </w:t>
      </w:r>
      <w:r>
        <w:rPr>
          <w:rFonts w:ascii="Calibri" w:cs="Calibri" w:eastAsia="Calibri" w:hAnsi="Calibri"/>
          <w:b/>
          <w:bCs/>
          <w:color w:val="B7791F"/>
          <w:sz w:val="19"/>
          <w:szCs w:val="19"/>
        </w:rPr>
        <w:t xml:space="preserve">Partial</w:t>
      </w:r>
      <w:r>
        <w:rPr>
          <w:rFonts w:ascii="Calibri" w:cs="Calibri" w:eastAsia="Calibri" w:hAnsi="Calibri"/>
          <w:color w:val="33465F"/>
          <w:sz w:val="19"/>
          <w:szCs w:val="19"/>
        </w:rPr>
        <w:t xml:space="preserve">, so score </w:t>
      </w:r>
      <w:r>
        <w:rPr>
          <w:rFonts w:ascii="Calibri" w:cs="Calibri" w:eastAsia="Calibri" w:hAnsi="Calibri"/>
          <w:b/>
          <w:bCs/>
          <w:color w:val="0B6670"/>
          <w:sz w:val="19"/>
          <w:szCs w:val="19"/>
        </w:rPr>
        <w:t xml:space="preserve">3 out of 5</w:t>
      </w:r>
      <w:r>
        <w:rPr>
          <w:rFonts w:ascii="Calibri" w:cs="Calibri" w:eastAsia="Calibri" w:hAnsi="Calibri"/>
          <w:color w:val="33465F"/>
          <w:sz w:val="19"/>
          <w:szCs w:val="19"/>
        </w:rPr>
        <w:t xml:space="preserve">. The team points at compliance but does not name the Article 15 requirement to prove robustness and cybersecurity as a Provider. Right direction, missing the specific requirement, so it lands in the partial range.</w:t>
      </w:r>
    </w:p>
    <w:p>
      <w:pPr>
        <w:spacing w:after="80" w:before="0" w:line="276"/>
      </w:pPr>
      <w:r>
        <w:rPr>
          <w:rFonts w:ascii="Calibri" w:cs="Calibri" w:eastAsia="Calibri" w:hAnsi="Calibri"/>
          <w:b/>
          <w:bCs/>
          <w:color w:val="0D274D"/>
          <w:sz w:val="19"/>
          <w:szCs w:val="19"/>
        </w:rPr>
        <w:t xml:space="preserve">Step 2.  </w:t>
      </w:r>
      <w:r>
        <w:rPr>
          <w:rFonts w:ascii="Calibri" w:cs="Calibri" w:eastAsia="Calibri" w:hAnsi="Calibri"/>
          <w:b/>
          <w:bCs/>
          <w:color w:val="0D274D"/>
          <w:sz w:val="19"/>
          <w:szCs w:val="19"/>
        </w:rPr>
        <w:t xml:space="preserve">Grade the Solution Designer answer. </w:t>
      </w:r>
      <w:r>
        <w:rPr>
          <w:rFonts w:ascii="Calibri" w:cs="Calibri" w:eastAsia="Calibri" w:hAnsi="Calibri"/>
          <w:color w:val="33465F"/>
          <w:sz w:val="19"/>
          <w:szCs w:val="19"/>
        </w:rPr>
        <w:t xml:space="preserve">It matches </w:t>
      </w:r>
      <w:r>
        <w:rPr>
          <w:rFonts w:ascii="Calibri" w:cs="Calibri" w:eastAsia="Calibri" w:hAnsi="Calibri"/>
          <w:b/>
          <w:bCs/>
          <w:color w:val="B7791F"/>
          <w:sz w:val="19"/>
          <w:szCs w:val="19"/>
        </w:rPr>
        <w:t xml:space="preserve">Substantial</w:t>
      </w:r>
      <w:r>
        <w:rPr>
          <w:rFonts w:ascii="Calibri" w:cs="Calibri" w:eastAsia="Calibri" w:hAnsi="Calibri"/>
          <w:color w:val="33465F"/>
          <w:sz w:val="19"/>
          <w:szCs w:val="19"/>
        </w:rPr>
        <w:t xml:space="preserve">, so score </w:t>
      </w:r>
      <w:r>
        <w:rPr>
          <w:rFonts w:ascii="Calibri" w:cs="Calibri" w:eastAsia="Calibri" w:hAnsi="Calibri"/>
          <w:b/>
          <w:bCs/>
          <w:color w:val="0B6670"/>
          <w:sz w:val="19"/>
          <w:szCs w:val="19"/>
        </w:rPr>
        <w:t xml:space="preserve">6 out of 10</w:t>
      </w:r>
      <w:r>
        <w:rPr>
          <w:rFonts w:ascii="Calibri" w:cs="Calibri" w:eastAsia="Calibri" w:hAnsi="Calibri"/>
          <w:color w:val="33465F"/>
          <w:sz w:val="19"/>
          <w:szCs w:val="19"/>
        </w:rPr>
        <w:t xml:space="preserve">. Cisco AI Defense is the right product, but the team does not name the model and application validation capability or how it is applied. Right product, light on the approach.</w:t>
      </w:r>
    </w:p>
    <w:p>
      <w:pPr>
        <w:spacing w:after="80" w:before="0" w:line="276"/>
      </w:pPr>
      <w:r>
        <w:rPr>
          <w:rFonts w:ascii="Calibri" w:cs="Calibri" w:eastAsia="Calibri" w:hAnsi="Calibri"/>
          <w:b/>
          <w:bCs/>
          <w:color w:val="0D274D"/>
          <w:sz w:val="19"/>
          <w:szCs w:val="19"/>
        </w:rPr>
        <w:t xml:space="preserve">Step 3.  </w:t>
      </w:r>
      <w:r>
        <w:rPr>
          <w:rFonts w:ascii="Calibri" w:cs="Calibri" w:eastAsia="Calibri" w:hAnsi="Calibri"/>
          <w:b/>
          <w:bCs/>
          <w:color w:val="0D274D"/>
          <w:sz w:val="19"/>
          <w:szCs w:val="19"/>
        </w:rPr>
        <w:t xml:space="preserve">Grade the Value Communicator answer. </w:t>
      </w:r>
      <w:r>
        <w:rPr>
          <w:rFonts w:ascii="Calibri" w:cs="Calibri" w:eastAsia="Calibri" w:hAnsi="Calibri"/>
          <w:color w:val="33465F"/>
          <w:sz w:val="19"/>
          <w:szCs w:val="19"/>
        </w:rPr>
        <w:t xml:space="preserve">It matches </w:t>
      </w:r>
      <w:r>
        <w:rPr>
          <w:rFonts w:ascii="Calibri" w:cs="Calibri" w:eastAsia="Calibri" w:hAnsi="Calibri"/>
          <w:b/>
          <w:bCs/>
          <w:color w:val="B7791F"/>
          <w:sz w:val="19"/>
          <w:szCs w:val="19"/>
        </w:rPr>
        <w:t xml:space="preserve">Substantial</w:t>
      </w:r>
      <w:r>
        <w:rPr>
          <w:rFonts w:ascii="Calibri" w:cs="Calibri" w:eastAsia="Calibri" w:hAnsi="Calibri"/>
          <w:color w:val="33465F"/>
          <w:sz w:val="19"/>
          <w:szCs w:val="19"/>
        </w:rPr>
        <w:t xml:space="preserve">, so score </w:t>
      </w:r>
      <w:r>
        <w:rPr>
          <w:rFonts w:ascii="Calibri" w:cs="Calibri" w:eastAsia="Calibri" w:hAnsi="Calibri"/>
          <w:b/>
          <w:bCs/>
          <w:color w:val="0B6670"/>
          <w:sz w:val="19"/>
          <w:szCs w:val="19"/>
        </w:rPr>
        <w:t xml:space="preserve">6 out of 10</w:t>
      </w:r>
      <w:r>
        <w:rPr>
          <w:rFonts w:ascii="Calibri" w:cs="Calibri" w:eastAsia="Calibri" w:hAnsi="Calibri"/>
          <w:color w:val="33465F"/>
          <w:sz w:val="19"/>
          <w:szCs w:val="19"/>
        </w:rPr>
        <w:t xml:space="preserve">. They mention validating models, which is some of the how, but the outcome stays generic. It does not reach the concrete outcome, automated evidence for Conformity Assessments.</w:t>
      </w:r>
    </w:p>
    <w:p>
      <w:pPr>
        <w:spacing w:after="80" w:before="0" w:line="276"/>
      </w:pPr>
      <w:r>
        <w:rPr>
          <w:rFonts w:ascii="Calibri" w:cs="Calibri" w:eastAsia="Calibri" w:hAnsi="Calibri"/>
          <w:b/>
          <w:bCs/>
          <w:color w:val="0D274D"/>
          <w:sz w:val="19"/>
          <w:szCs w:val="19"/>
        </w:rPr>
        <w:t xml:space="preserve">Step 4.  </w:t>
      </w:r>
      <w:r>
        <w:rPr>
          <w:rFonts w:ascii="Calibri" w:cs="Calibri" w:eastAsia="Calibri" w:hAnsi="Calibri"/>
          <w:b/>
          <w:bCs/>
          <w:color w:val="0D274D"/>
          <w:sz w:val="19"/>
          <w:szCs w:val="19"/>
        </w:rPr>
        <w:t xml:space="preserve">Total the pain point. </w:t>
      </w:r>
      <w:r>
        <w:rPr>
          <w:rFonts w:ascii="Calibri" w:cs="Calibri" w:eastAsia="Calibri" w:hAnsi="Calibri"/>
          <w:color w:val="33465F"/>
          <w:sz w:val="19"/>
          <w:szCs w:val="19"/>
        </w:rPr>
        <w:t xml:space="preserve">3 plus 6 plus 6 = </w:t>
      </w:r>
      <w:r>
        <w:rPr>
          <w:rFonts w:ascii="Calibri" w:cs="Calibri" w:eastAsia="Calibri" w:hAnsi="Calibri"/>
          <w:b/>
          <w:bCs/>
          <w:color w:val="0B6670"/>
          <w:sz w:val="19"/>
          <w:szCs w:val="19"/>
        </w:rPr>
        <w:t xml:space="preserve">15 out of 25</w:t>
      </w:r>
      <w:r>
        <w:rPr>
          <w:rFonts w:ascii="Calibri" w:cs="Calibri" w:eastAsia="Calibri" w:hAnsi="Calibri"/>
          <w:color w:val="33465F"/>
          <w:sz w:val="19"/>
          <w:szCs w:val="19"/>
        </w:rPr>
        <w:t xml:space="preserve">, which is </w:t>
      </w:r>
      <w:r>
        <w:rPr>
          <w:rFonts w:ascii="Calibri" w:cs="Calibri" w:eastAsia="Calibri" w:hAnsi="Calibri"/>
          <w:b/>
          <w:bCs/>
          <w:color w:val="0D274D"/>
          <w:sz w:val="19"/>
          <w:szCs w:val="19"/>
        </w:rPr>
        <w:t xml:space="preserve">Developing</w:t>
      </w:r>
      <w:r>
        <w:rPr>
          <w:rFonts w:ascii="Calibri" w:cs="Calibri" w:eastAsia="Calibri" w:hAnsi="Calibri"/>
          <w:color w:val="33465F"/>
          <w:sz w:val="19"/>
          <w:szCs w:val="19"/>
        </w:rPr>
        <w:t xml:space="preserve"> on the completion band.</w:t>
      </w:r>
    </w:p>
    <w:p>
      <w:pPr>
        <w:spacing w:after="100" w:before="0" w:line="276"/>
      </w:pPr>
      <w:r>
        <w:rPr>
          <w:rFonts w:ascii="Calibri" w:cs="Calibri" w:eastAsia="Calibri" w:hAnsi="Calibri"/>
          <w:b/>
          <w:bCs/>
          <w:color w:val="0D274D"/>
          <w:sz w:val="19"/>
          <w:szCs w:val="19"/>
        </w:rPr>
        <w:t xml:space="preserve">Step 5.  </w:t>
      </w:r>
      <w:r>
        <w:rPr>
          <w:rFonts w:ascii="Calibri" w:cs="Calibri" w:eastAsia="Calibri" w:hAnsi="Calibri"/>
          <w:b/>
          <w:bCs/>
          <w:color w:val="0D274D"/>
          <w:sz w:val="19"/>
          <w:szCs w:val="19"/>
        </w:rPr>
        <w:t xml:space="preserve">Note the feedback. </w:t>
      </w:r>
      <w:r>
        <w:rPr>
          <w:rFonts w:ascii="Calibri" w:cs="Calibri" w:eastAsia="Calibri" w:hAnsi="Calibri"/>
          <w:color w:val="33465F"/>
          <w:sz w:val="19"/>
          <w:szCs w:val="19"/>
        </w:rPr>
        <w:t xml:space="preserve">Strength: the right product and a clear compliance intent. To grow: name the Article 15 requirement, the AI Defense model and application validation capability, and the concrete outcome, automated evidence for Conformity Assessments.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3EC" w:sz="6"/>
              <w:left w:val="single" w:color="CFE3EC" w:sz="30"/>
              <w:bottom w:val="single" w:color="CFE3EC" w:sz="6"/>
              <w:right w:val="single" w:color="CFE3EC" w:sz="6"/>
            </w:tcBorders>
            <w:shd w:fill="F5FBFD" w:color="auto" w:val="clear"/>
            <w:tcMar>
              <w:top w:type="dxa" w:w="110"/>
              <w:left w:type="dxa" w:w="160"/>
              <w:bottom w:type="dxa" w:w="110"/>
              <w:right w:type="dxa" w:w="160"/>
            </w:tcMar>
            <w:vAlign w:val="top"/>
          </w:tcPr>
          <w:p>
            <w:pPr>
              <w:spacing w:after="50" w:before="0" w:line="276"/>
            </w:pPr>
            <w:r>
              <w:rPr>
                <w:rFonts w:ascii="Calibri" w:cs="Calibri" w:eastAsia="Calibri" w:hAnsi="Calibri"/>
                <w:b/>
                <w:bCs/>
                <w:caps/>
                <w:color w:val="036C8F"/>
                <w:sz w:val="15"/>
                <w:szCs w:val="15"/>
              </w:rPr>
              <w:t xml:space="preserve">Sample output</w:t>
            </w:r>
          </w:p>
          <w:p>
            <w:pPr>
              <w:spacing w:after="0" w:before="0" w:line="276"/>
            </w:pPr>
            <w:r>
              <w:rPr>
                <w:rFonts w:ascii="Calibri" w:cs="Calibri" w:eastAsia="Calibri" w:hAnsi="Calibri"/>
                <w:color w:val="2A3C52"/>
                <w:sz w:val="19"/>
                <w:szCs w:val="19"/>
              </w:rPr>
              <w:t xml:space="preserve">Pain point 1: Problem 3 plus Solution 6 plus Value 6 = 15 out of 25, which is Developing. Grade pain points 2 to 4 the same way, add the four totals for the Case Study 1 score out of 100, and record it on the team's Proctor evaluation page.</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Now you are ready.  </w:t>
            </w:r>
            <w:r>
              <w:rPr>
                <w:rFonts w:ascii="Calibri" w:cs="Calibri" w:eastAsia="Calibri" w:hAnsi="Calibri"/>
                <w:color w:val="33465F"/>
                <w:sz w:val="20"/>
                <w:szCs w:val="20"/>
              </w:rPr>
              <w:t xml:space="preserve">Grade each pain point this way against the three levels for every dimension, add the four pain point totals for the case study score out of 100, and record every score on the team's Proctor evaluation page.</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For each pain point, grade all three dimensions. Each shows the </w:t>
      </w:r>
      <w:r>
        <w:rPr>
          <w:rFonts w:ascii="Calibri" w:cs="Calibri" w:eastAsia="Calibri" w:hAnsi="Calibri"/>
          <w:b/>
          <w:bCs/>
          <w:color w:val="0D274D"/>
          <w:sz w:val="18"/>
          <w:szCs w:val="18"/>
        </w:rPr>
        <w:t xml:space="preserve">full-marks</w:t>
      </w:r>
      <w:r>
        <w:rPr>
          <w:rFonts w:ascii="Calibri" w:cs="Calibri" w:eastAsia="Calibri" w:hAnsi="Calibri"/>
          <w:color w:val="7E8CA1"/>
          <w:sz w:val="18"/>
          <w:szCs w:val="18"/>
        </w:rPr>
        <w:t xml:space="preserve"> answer, what a </w:t>
      </w:r>
      <w:r>
        <w:rPr>
          <w:rFonts w:ascii="Calibri" w:cs="Calibri" w:eastAsia="Calibri" w:hAnsi="Calibri"/>
          <w:b/>
          <w:bCs/>
          <w:color w:val="0D274D"/>
          <w:sz w:val="18"/>
          <w:szCs w:val="18"/>
        </w:rPr>
        <w:t xml:space="preserve">partial</w:t>
      </w:r>
      <w:r>
        <w:rPr>
          <w:rFonts w:ascii="Calibri" w:cs="Calibri" w:eastAsia="Calibri" w:hAnsi="Calibri"/>
          <w:color w:val="7E8CA1"/>
          <w:sz w:val="18"/>
          <w:szCs w:val="18"/>
        </w:rPr>
        <w:t xml:space="preserve"> answer looks like, and what earns </w:t>
      </w:r>
      <w:r>
        <w:rPr>
          <w:rFonts w:ascii="Calibri" w:cs="Calibri" w:eastAsia="Calibri" w:hAnsi="Calibri"/>
          <w:b/>
          <w:bCs/>
          <w:color w:val="0D274D"/>
          <w:sz w:val="18"/>
          <w:szCs w:val="18"/>
        </w:rPr>
        <w:t xml:space="preserve">no credit</w:t>
      </w:r>
      <w:r>
        <w:rPr>
          <w:rFonts w:ascii="Calibri" w:cs="Calibri" w:eastAsia="Calibri" w:hAnsi="Calibri"/>
          <w:color w:val="7E8CA1"/>
          <w:sz w:val="18"/>
          <w:szCs w:val="18"/>
        </w:rPr>
        <w:t xml:space="preserve">, mapped to the score.</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Provider-level evidence of robustness and cybersecurity under EU AI Act Article 15.</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AI Defense</w:t>
            </w:r>
            <w:r>
              <w:rPr>
                <w:rFonts w:ascii="Calibri" w:cs="Calibri" w:eastAsia="Calibri" w:hAnsi="Calibri"/>
                <w:color w:val="46566E"/>
                <w:sz w:val="18"/>
                <w:szCs w:val="18"/>
              </w:rPr>
              <w:t xml:space="preserve"> (AI Model and Application Validation)</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AI Defense (model validation and algorithmic red teaming)</w:t>
            </w:r>
            <w:r>
              <w:rPr>
                <w:rFonts w:ascii="Calibri" w:cs="Calibri" w:eastAsia="Calibri" w:hAnsi="Calibri"/>
                <w:color w:val="5A6E86"/>
                <w:sz w:val="16"/>
                <w:szCs w:val="16"/>
              </w:rPr>
              <w:t xml:space="preserve"> (the same platform named by capability; full marks when it is tied to proving robustness and cybersecurity for Article 15)</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Cisco AI Defense but does not connect it to Article 15 evidence or model validation.</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 policy or governance process with no Cisco product, or an unrelated next-generation firewall.</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AI Defense is specifically designed to support Provider obligations under the EU AI Act. We utilize algorithmic red teaming technology for AI Model &amp; App Validation, which identifies safety and security vulnerabilities at scale.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Vetting AI models and third-party agents for vulnerabilities before they reach production.</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AI Defense</w:t>
            </w:r>
            <w:r>
              <w:rPr>
                <w:rFonts w:ascii="Calibri" w:cs="Calibri" w:eastAsia="Calibri" w:hAnsi="Calibri"/>
                <w:color w:val="46566E"/>
                <w:sz w:val="18"/>
                <w:szCs w:val="18"/>
              </w:rPr>
              <w:t xml:space="preserve"> (Supply Chain Risk Management)</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AI Defense applied as a pre-production gate</w:t>
            </w:r>
            <w:r>
              <w:rPr>
                <w:rFonts w:ascii="Calibri" w:cs="Calibri" w:eastAsia="Calibri" w:hAnsi="Calibri"/>
                <w:color w:val="5A6E86"/>
                <w:sz w:val="16"/>
                <w:szCs w:val="16"/>
              </w:rPr>
              <w:t xml:space="preserve"> (AI Defense validation run in the model and agent pipeline; full marks when the vet-before-production reasoning is sound)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AI Defense but not the pre-production vetting of third-party models and agents.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Endpoint antivirus or code scanning with no AI supply-chain reasoning.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AI Defense addresses this through proactive Supply Chain Risk Management. We scan your model files, repositories, and MCP servers to identify malicious or unsafe assets.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enables "Shift-Left" security by creating an inventory of all AI models and agents. By identifying vulnerabilities before production, it prevents the introduction of malicious code or poisoned data into your ecosystem.</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Visibility and consistent control over AI assets (models, agents, datasets and MCP tools) across the cloud.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AI Defense</w:t>
            </w:r>
            <w:r>
              <w:rPr>
                <w:rFonts w:ascii="Calibri" w:cs="Calibri" w:eastAsia="Calibri" w:hAnsi="Calibri"/>
                <w:color w:val="46566E"/>
                <w:sz w:val="18"/>
                <w:szCs w:val="18"/>
              </w:rPr>
              <w:t xml:space="preserve"> (AI Cloud Visibility)</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Multicloud Defense (cloud traffic visibility)</w:t>
            </w:r>
            <w:r>
              <w:rPr>
                <w:rFonts w:ascii="Calibri" w:cs="Calibri" w:eastAsia="Calibri" w:hAnsi="Calibri"/>
                <w:color w:val="5A6E86"/>
                <w:sz w:val="16"/>
                <w:szCs w:val="16"/>
              </w:rPr>
              <w:t xml:space="preserve"> (complements AI Defense to discover AI assets and traffic across clouds; credit when paired or well argued)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AI Defense but not the discovery of models, agents, datasets and MCP tools across the cloud.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 generic cloud logging or posture tool with no AI-asset discovery.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the visibility gap Cisco AI Defense is built to solve. With AI Cloud Visibility, Cisco AI Defense continuously discovers AI assets across distributed cloud environments, including models, agents, datasets, MCP servers, and agent-to-tool workflows.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Identifies rogue or unsanctioned AI assets. Maps relationships across data, models, agents, and tools.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Seeing AI assets and third-party model usage, and enforcing runtime guardrails on AI traffic without changing applications.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AI Defense with Cisco Multicloud Defense</w:t>
            </w:r>
            <w:r>
              <w:rPr>
                <w:rFonts w:ascii="Calibri" w:cs="Calibri" w:eastAsia="Calibri" w:hAnsi="Calibri"/>
                <w:color w:val="46566E"/>
                <w:sz w:val="18"/>
                <w:szCs w:val="18"/>
              </w:rPr>
              <w:t xml:space="preserve"> (AI Runtime Protection)</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Hypershield (runtime enforcement)</w:t>
            </w:r>
            <w:r>
              <w:rPr>
                <w:rFonts w:ascii="Calibri" w:cs="Calibri" w:eastAsia="Calibri" w:hAnsi="Calibri"/>
                <w:color w:val="5A6E86"/>
                <w:sz w:val="16"/>
                <w:szCs w:val="16"/>
              </w:rPr>
              <w:t xml:space="preserve"> (an HMF path to enforce guardrails on workload and AI traffic without changing applications)</w:t>
            </w:r>
            <w:r>
              <w:rPr>
                <w:rFonts w:ascii="Calibri" w:cs="Calibri" w:eastAsia="Calibri" w:hAnsi="Calibri"/>
                <w:color w:val="5A6E86"/>
                <w:sz w:val="16"/>
                <w:szCs w:val="16"/>
              </w:rPr>
              <w:t xml:space="preserve">; </w:t>
            </w:r>
            <w:r>
              <w:rPr>
                <w:rFonts w:ascii="Calibri" w:cs="Calibri" w:eastAsia="Calibri" w:hAnsi="Calibri"/>
                <w:b/>
                <w:bCs/>
                <w:color w:val="0B6670"/>
                <w:sz w:val="16"/>
                <w:szCs w:val="16"/>
              </w:rPr>
              <w:t xml:space="preserve">Cisco Multicloud Defense (cloud runtime enforcement)</w:t>
            </w:r>
            <w:r>
              <w:rPr>
                <w:rFonts w:ascii="Calibri" w:cs="Calibri" w:eastAsia="Calibri" w:hAnsi="Calibri"/>
                <w:color w:val="5A6E86"/>
                <w:sz w:val="16"/>
                <w:szCs w:val="16"/>
              </w:rPr>
              <w:t xml:space="preserve"> (enforces guardrails on AI traffic in the cloud alongside AI Defense)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AI Defense or Multicloud Defense but not the runtime guardrail on prompt and response traffic.</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Blocking AI use outright, or an answer with no runtime inspection or enforcement.</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what the Cisco AI Defense-Cisco Multicloud Defense integration is designed to address. Cisco AI Defense uses the integration to discover AI assets in your cloud environments and identify external AI destinations your workloads are calling.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Finds AI assets in cloud accounts. Identifies third-party AI model usage.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For each pain point, grade all three dimensions. Each shows the </w:t>
      </w:r>
      <w:r>
        <w:rPr>
          <w:rFonts w:ascii="Calibri" w:cs="Calibri" w:eastAsia="Calibri" w:hAnsi="Calibri"/>
          <w:b/>
          <w:bCs/>
          <w:color w:val="0D274D"/>
          <w:sz w:val="18"/>
          <w:szCs w:val="18"/>
        </w:rPr>
        <w:t xml:space="preserve">full-marks</w:t>
      </w:r>
      <w:r>
        <w:rPr>
          <w:rFonts w:ascii="Calibri" w:cs="Calibri" w:eastAsia="Calibri" w:hAnsi="Calibri"/>
          <w:color w:val="7E8CA1"/>
          <w:sz w:val="18"/>
          <w:szCs w:val="18"/>
        </w:rPr>
        <w:t xml:space="preserve"> answer, what a </w:t>
      </w:r>
      <w:r>
        <w:rPr>
          <w:rFonts w:ascii="Calibri" w:cs="Calibri" w:eastAsia="Calibri" w:hAnsi="Calibri"/>
          <w:b/>
          <w:bCs/>
          <w:color w:val="0D274D"/>
          <w:sz w:val="18"/>
          <w:szCs w:val="18"/>
        </w:rPr>
        <w:t xml:space="preserve">partial</w:t>
      </w:r>
      <w:r>
        <w:rPr>
          <w:rFonts w:ascii="Calibri" w:cs="Calibri" w:eastAsia="Calibri" w:hAnsi="Calibri"/>
          <w:color w:val="7E8CA1"/>
          <w:sz w:val="18"/>
          <w:szCs w:val="18"/>
        </w:rPr>
        <w:t xml:space="preserve"> answer looks like, and what earns </w:t>
      </w:r>
      <w:r>
        <w:rPr>
          <w:rFonts w:ascii="Calibri" w:cs="Calibri" w:eastAsia="Calibri" w:hAnsi="Calibri"/>
          <w:b/>
          <w:bCs/>
          <w:color w:val="0D274D"/>
          <w:sz w:val="18"/>
          <w:szCs w:val="18"/>
        </w:rPr>
        <w:t xml:space="preserve">no credit</w:t>
      </w:r>
      <w:r>
        <w:rPr>
          <w:rFonts w:ascii="Calibri" w:cs="Calibri" w:eastAsia="Calibri" w:hAnsi="Calibri"/>
          <w:color w:val="7E8CA1"/>
          <w:sz w:val="18"/>
          <w:szCs w:val="18"/>
        </w:rPr>
        <w:t xml:space="preserve">, mapped to the score.</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Containing lateral movement between public cloud and on-prem in a multicloud environment.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Multicloud Defense</w:t>
            </w:r>
            <w:r>
              <w:rPr>
                <w:rFonts w:ascii="Calibri" w:cs="Calibri" w:eastAsia="Calibri" w:hAnsi="Calibri"/>
                <w:color w:val="46566E"/>
                <w:sz w:val="18"/>
                <w:szCs w:val="18"/>
              </w:rPr>
              <w:t xml:space="preserve"> (macro and micro-segmentation gateways)</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Workload (micro-segmentation)</w:t>
            </w:r>
            <w:r>
              <w:rPr>
                <w:rFonts w:ascii="Calibri" w:cs="Calibri" w:eastAsia="Calibri" w:hAnsi="Calibri"/>
                <w:color w:val="5A6E86"/>
                <w:sz w:val="16"/>
                <w:szCs w:val="16"/>
              </w:rPr>
              <w:t xml:space="preserve"> (contains east-west movement at the workload; credit alongside or instead of the gateways when argued)</w:t>
            </w:r>
            <w:r>
              <w:rPr>
                <w:rFonts w:ascii="Calibri" w:cs="Calibri" w:eastAsia="Calibri" w:hAnsi="Calibri"/>
                <w:color w:val="5A6E86"/>
                <w:sz w:val="16"/>
                <w:szCs w:val="16"/>
              </w:rPr>
              <w:t xml:space="preserve">; </w:t>
            </w:r>
            <w:r>
              <w:rPr>
                <w:rFonts w:ascii="Calibri" w:cs="Calibri" w:eastAsia="Calibri" w:hAnsi="Calibri"/>
                <w:b/>
                <w:bCs/>
                <w:color w:val="0B6670"/>
                <w:sz w:val="16"/>
                <w:szCs w:val="16"/>
              </w:rPr>
              <w:t xml:space="preserve">Cisco Hypershield</w:t>
            </w:r>
            <w:r>
              <w:rPr>
                <w:rFonts w:ascii="Calibri" w:cs="Calibri" w:eastAsia="Calibri" w:hAnsi="Calibri"/>
                <w:color w:val="5A6E86"/>
                <w:sz w:val="16"/>
                <w:szCs w:val="16"/>
              </w:rPr>
              <w:t xml:space="preserve"> (distributed segmentation and enforcement across the estate)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Multicloud Defense but not segmentation to contain lateral movement.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 single perimeter firewall with no multicloud or east-west control.</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provides granular visibility and control over east-west traffic. By applying Zero Trust principles across the hybrid fabric, you transform your network into a series of secure, isolated zones that prevent an attacker from pivoting through your infrastructure.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Consistent, auditable proof that security controls are applied across all cloud workloads.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Multicloud Defense</w:t>
            </w:r>
            <w:r>
              <w:rPr>
                <w:rFonts w:ascii="Calibri" w:cs="Calibri" w:eastAsia="Calibri" w:hAnsi="Calibri"/>
                <w:color w:val="46566E"/>
                <w:sz w:val="18"/>
                <w:szCs w:val="18"/>
              </w:rPr>
              <w:t xml:space="preserve"> (unified logging and visibility)</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Security Cloud Control</w:t>
            </w:r>
            <w:r>
              <w:rPr>
                <w:rFonts w:ascii="Calibri" w:cs="Calibri" w:eastAsia="Calibri" w:hAnsi="Calibri"/>
                <w:color w:val="5A6E86"/>
                <w:sz w:val="16"/>
                <w:szCs w:val="16"/>
              </w:rPr>
              <w:t xml:space="preserve"> (central visibility and reporting across the estate to evidence controls to auditors)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Multicloud Defense but not the audit or evidence angle.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Per-cloud native logs or spreadsheets with no unified, auditable view.</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collection of evidence for security audits. By consolidating logs and policy enforcement data, you create a "single source of truth" that simplifies compliance reporting and demonstrates proactive governance to regulators.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One consistent policy model across AWS, Azure and on-prem, without per-cloud overhead.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Multicloud Defense</w:t>
            </w:r>
            <w:r>
              <w:rPr>
                <w:rFonts w:ascii="Calibri" w:cs="Calibri" w:eastAsia="Calibri" w:hAnsi="Calibri"/>
                <w:color w:val="46566E"/>
                <w:sz w:val="18"/>
                <w:szCs w:val="18"/>
              </w:rPr>
              <w:t xml:space="preserve"> (unified policy across public clouds)</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Firewall with FMC or Security Cloud Control</w:t>
            </w:r>
            <w:r>
              <w:rPr>
                <w:rFonts w:ascii="Calibri" w:cs="Calibri" w:eastAsia="Calibri" w:hAnsi="Calibri"/>
                <w:color w:val="5A6E86"/>
                <w:sz w:val="16"/>
                <w:szCs w:val="16"/>
              </w:rPr>
              <w:t xml:space="preserve"> (consistent policy across the firewall estate; credit when the one-policy-model reasoning fits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Multicloud Defense but not the single, consistent policy model across clouds.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Separate per-cloud native firewalls managed independently.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replaces siloed, manual configuration with centralized orchestration. By abstracting the security policy from the cloud-native tools, it ensures that your security posture is uniform and eliminates the "configuration drift" that occurs when managing multiple cloud consoles.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Unified segmentation that prevents policy drift across hybrid and multicloud.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Secure Workload with Cisco Secure Firewall</w:t>
            </w:r>
            <w:r>
              <w:rPr>
                <w:rFonts w:ascii="Calibri" w:cs="Calibri" w:eastAsia="Calibri" w:hAnsi="Calibri"/>
                <w:color w:val="46566E"/>
                <w:sz w:val="18"/>
                <w:szCs w:val="18"/>
              </w:rPr>
              <w:t xml:space="preserve"> (managed via FMC and Security Cloud Control)</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Multicloud Defense (consistent segmentation policy)</w:t>
            </w:r>
            <w:r>
              <w:rPr>
                <w:rFonts w:ascii="Calibri" w:cs="Calibri" w:eastAsia="Calibri" w:hAnsi="Calibri"/>
                <w:color w:val="5A6E86"/>
                <w:sz w:val="16"/>
                <w:szCs w:val="16"/>
              </w:rPr>
              <w:t xml:space="preserve"> (enforces uniform segmentation across clouds; credit with Secure Workload's dependency mapping)</w:t>
            </w:r>
            <w:r>
              <w:rPr>
                <w:rFonts w:ascii="Calibri" w:cs="Calibri" w:eastAsia="Calibri" w:hAnsi="Calibri"/>
                <w:color w:val="5A6E86"/>
                <w:sz w:val="16"/>
                <w:szCs w:val="16"/>
              </w:rPr>
              <w:t xml:space="preserve">; </w:t>
            </w:r>
            <w:r>
              <w:rPr>
                <w:rFonts w:ascii="Calibri" w:cs="Calibri" w:eastAsia="Calibri" w:hAnsi="Calibri"/>
                <w:b/>
                <w:bCs/>
                <w:color w:val="0B6670"/>
                <w:sz w:val="16"/>
                <w:szCs w:val="16"/>
              </w:rPr>
              <w:t xml:space="preserve">Cisco Hypershield</w:t>
            </w:r>
            <w:r>
              <w:rPr>
                <w:rFonts w:ascii="Calibri" w:cs="Calibri" w:eastAsia="Calibri" w:hAnsi="Calibri"/>
                <w:color w:val="5A6E86"/>
                <w:sz w:val="16"/>
                <w:szCs w:val="16"/>
              </w:rPr>
              <w:t xml:space="preserve"> (distributed, consistent enforcement that prevents policy drift)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Secure Workload or a firewall but not the drift-prevention or unified policy.</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Point segmentation in one environment only.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a common hybrid environment challenge. Cisco Secure Workload helps create a more unified segmentation model by using application dependency awareness and AI/ML-driven policy discovery to define policy based on how workloads actually communicate.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Reduces policy drift across hybrid and multicloud environments. Aligns policy to application behavior, not just static IP-based rules.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For each pain point, grade all three dimensions. Each shows the </w:t>
      </w:r>
      <w:r>
        <w:rPr>
          <w:rFonts w:ascii="Calibri" w:cs="Calibri" w:eastAsia="Calibri" w:hAnsi="Calibri"/>
          <w:b/>
          <w:bCs/>
          <w:color w:val="0D274D"/>
          <w:sz w:val="18"/>
          <w:szCs w:val="18"/>
        </w:rPr>
        <w:t xml:space="preserve">full-marks</w:t>
      </w:r>
      <w:r>
        <w:rPr>
          <w:rFonts w:ascii="Calibri" w:cs="Calibri" w:eastAsia="Calibri" w:hAnsi="Calibri"/>
          <w:color w:val="7E8CA1"/>
          <w:sz w:val="18"/>
          <w:szCs w:val="18"/>
        </w:rPr>
        <w:t xml:space="preserve"> answer, what a </w:t>
      </w:r>
      <w:r>
        <w:rPr>
          <w:rFonts w:ascii="Calibri" w:cs="Calibri" w:eastAsia="Calibri" w:hAnsi="Calibri"/>
          <w:b/>
          <w:bCs/>
          <w:color w:val="0D274D"/>
          <w:sz w:val="18"/>
          <w:szCs w:val="18"/>
        </w:rPr>
        <w:t xml:space="preserve">partial</w:t>
      </w:r>
      <w:r>
        <w:rPr>
          <w:rFonts w:ascii="Calibri" w:cs="Calibri" w:eastAsia="Calibri" w:hAnsi="Calibri"/>
          <w:color w:val="7E8CA1"/>
          <w:sz w:val="18"/>
          <w:szCs w:val="18"/>
        </w:rPr>
        <w:t xml:space="preserve"> answer looks like, and what earns </w:t>
      </w:r>
      <w:r>
        <w:rPr>
          <w:rFonts w:ascii="Calibri" w:cs="Calibri" w:eastAsia="Calibri" w:hAnsi="Calibri"/>
          <w:b/>
          <w:bCs/>
          <w:color w:val="0D274D"/>
          <w:sz w:val="18"/>
          <w:szCs w:val="18"/>
        </w:rPr>
        <w:t xml:space="preserve">no credit</w:t>
      </w:r>
      <w:r>
        <w:rPr>
          <w:rFonts w:ascii="Calibri" w:cs="Calibri" w:eastAsia="Calibri" w:hAnsi="Calibri"/>
          <w:color w:val="7E8CA1"/>
          <w:sz w:val="18"/>
          <w:szCs w:val="18"/>
        </w:rPr>
        <w:t xml:space="preserve">, mapped to the score.</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Automated, real-time isolation of a compromised device, faster than a manual response.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ISE</w:t>
            </w:r>
            <w:r>
              <w:rPr>
                <w:rFonts w:ascii="Calibri" w:cs="Calibri" w:eastAsia="Calibri" w:hAnsi="Calibri"/>
                <w:color w:val="46566E"/>
                <w:sz w:val="18"/>
                <w:szCs w:val="18"/>
              </w:rPr>
              <w:t xml:space="preserve"> (Security Group Tags via pxGrid and Adaptive Network Control)</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Firewall integrated with ISE</w:t>
            </w:r>
            <w:r>
              <w:rPr>
                <w:rFonts w:ascii="Calibri" w:cs="Calibri" w:eastAsia="Calibri" w:hAnsi="Calibri"/>
                <w:color w:val="5A6E86"/>
                <w:sz w:val="16"/>
                <w:szCs w:val="16"/>
              </w:rPr>
              <w:t xml:space="preserve"> (firewall-triggered containment through ISE; credit when the automated quarantine path is clear)</w:t>
            </w:r>
            <w:r>
              <w:rPr>
                <w:rFonts w:ascii="Calibri" w:cs="Calibri" w:eastAsia="Calibri" w:hAnsi="Calibri"/>
                <w:color w:val="5A6E86"/>
                <w:sz w:val="16"/>
                <w:szCs w:val="16"/>
              </w:rPr>
              <w:t xml:space="preserve">; </w:t>
            </w:r>
            <w:r>
              <w:rPr>
                <w:rFonts w:ascii="Calibri" w:cs="Calibri" w:eastAsia="Calibri" w:hAnsi="Calibri"/>
                <w:b/>
                <w:bCs/>
                <w:color w:val="0B6670"/>
                <w:sz w:val="16"/>
                <w:szCs w:val="16"/>
              </w:rPr>
              <w:t xml:space="preserve">Cisco ISE with Adaptive Network Control</w:t>
            </w:r>
            <w:r>
              <w:rPr>
                <w:rFonts w:ascii="Calibri" w:cs="Calibri" w:eastAsia="Calibri" w:hAnsi="Calibri"/>
                <w:color w:val="5A6E86"/>
                <w:sz w:val="16"/>
                <w:szCs w:val="16"/>
              </w:rPr>
              <w:t xml:space="preserve"> (the core real-time auto-quarantine capability)</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ISE but not the automated, real-time quarantine through pxGrid or ANC.</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 manual, ticket-based response, or a firewall rule with no identity or automation.</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ISE integrates with your security ecosystem via pxGrid and Adaptive Network Control (ANC). When a threat is detected, ISE can automatically trigger a quarantine policy, isolating the compromised device in real-time without requiring manual intervention.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"Response" phase of the incident lifecycle. By bridging the gap between detection and enforcement, it stops threats at the speed of the network.</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Simplifying and cleaning up firewall policy administration at scale.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Security Cloud Control with FMC and Cisco Secure Firewall</w:t>
            </w:r>
            <w:r>
              <w:rPr>
                <w:rFonts w:ascii="Calibri" w:cs="Calibri" w:eastAsia="Calibri" w:hAnsi="Calibri"/>
                <w:color w:val="46566E"/>
                <w:sz w:val="18"/>
                <w:szCs w:val="18"/>
              </w:rPr>
              <w:t xml:space="preserve"> (unified policy administration)</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Firewall Management Center (FMC)</w:t>
            </w:r>
            <w:r>
              <w:rPr>
                <w:rFonts w:ascii="Calibri" w:cs="Calibri" w:eastAsia="Calibri" w:hAnsi="Calibri"/>
                <w:color w:val="5A6E86"/>
                <w:sz w:val="16"/>
                <w:szCs w:val="16"/>
              </w:rPr>
              <w:t xml:space="preserve"> (centralised policy administration and rulebase cleanup; credit when the at-scale simplification is argued)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a manager but not the rulebase cleanup or consolidation at scale.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Editing firewalls device by device with no central management.</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applies AI-driven analysis to firewall telemetry and policy data to surface optimization opportunities, reduce manual troubleshooting, and guide cleaner policy administration.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Reduces manual policy review; identifies redundant/stale rules; lowers risk from human error.</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Restoring visibility into encrypted traffic without decrypting everything.</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Secure Firewall with the Encrypted Visibility Engine</w:t>
            </w:r>
            <w:r>
              <w:rPr>
                <w:rFonts w:ascii="Calibri" w:cs="Calibri" w:eastAsia="Calibri" w:hAnsi="Calibri"/>
                <w:color w:val="46566E"/>
                <w:sz w:val="18"/>
                <w:szCs w:val="18"/>
              </w:rPr>
              <w:t xml:space="preserve"> (EVE)</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Firewall with selective TLS decryption</w:t>
            </w:r>
            <w:r>
              <w:rPr>
                <w:rFonts w:ascii="Calibri" w:cs="Calibri" w:eastAsia="Calibri" w:hAnsi="Calibri"/>
                <w:color w:val="5A6E86"/>
                <w:sz w:val="16"/>
                <w:szCs w:val="16"/>
              </w:rPr>
              <w:t xml:space="preserve"> (a valid but heavier path; credit when selective decryption is justified, though EVE is preferred for no-decrypt visibility)</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Secure Firewall but not EVE or a no-decrypt approach to encrypted traffic.</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Blanket decryption of all traffic, or ignoring encrypted flows entirely.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Encrypted Visibility Engine (EVE) uses AI/ML-based fingerprinting to analyze encrypted traffic patterns and identify suspicious behavior without decrypting the payload.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Restores visibility into encrypted blind spots; avoids the performance/privacy overhead of decrypt-everything strategies.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Detecting unknown and zero-day threats beyond signature-based detection.</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Secure Firewall with Snort ML</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Firewall with Talos-backed IPS and malware protection</w:t>
            </w:r>
            <w:r>
              <w:rPr>
                <w:rFonts w:ascii="Calibri" w:cs="Calibri" w:eastAsia="Calibri" w:hAnsi="Calibri"/>
                <w:color w:val="5A6E86"/>
                <w:sz w:val="16"/>
                <w:szCs w:val="16"/>
              </w:rPr>
              <w:t xml:space="preserve"> (complementary advanced detection; credit when the beyond-signature reasoning is present, with Snort ML preferred)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Secure Firewall or IPS but not machine-learning or zero-day detection.</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Signature-only IPS with no unknown-threat detection.</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where Snort ML helps. It adds machine-learning-based detection inside the Snort 3 engine to identify exploit behavior associated with unknown/zero-day threats.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Addresses the gap between known and unknown threat detection; reduces dependence on signature timing.</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For each pain point, grade all three dimensions. Each shows the </w:t>
      </w:r>
      <w:r>
        <w:rPr>
          <w:rFonts w:ascii="Calibri" w:cs="Calibri" w:eastAsia="Calibri" w:hAnsi="Calibri"/>
          <w:b/>
          <w:bCs/>
          <w:color w:val="0D274D"/>
          <w:sz w:val="18"/>
          <w:szCs w:val="18"/>
        </w:rPr>
        <w:t xml:space="preserve">full-marks</w:t>
      </w:r>
      <w:r>
        <w:rPr>
          <w:rFonts w:ascii="Calibri" w:cs="Calibri" w:eastAsia="Calibri" w:hAnsi="Calibri"/>
          <w:color w:val="7E8CA1"/>
          <w:sz w:val="18"/>
          <w:szCs w:val="18"/>
        </w:rPr>
        <w:t xml:space="preserve"> answer, what a </w:t>
      </w:r>
      <w:r>
        <w:rPr>
          <w:rFonts w:ascii="Calibri" w:cs="Calibri" w:eastAsia="Calibri" w:hAnsi="Calibri"/>
          <w:b/>
          <w:bCs/>
          <w:color w:val="0D274D"/>
          <w:sz w:val="18"/>
          <w:szCs w:val="18"/>
        </w:rPr>
        <w:t xml:space="preserve">partial</w:t>
      </w:r>
      <w:r>
        <w:rPr>
          <w:rFonts w:ascii="Calibri" w:cs="Calibri" w:eastAsia="Calibri" w:hAnsi="Calibri"/>
          <w:color w:val="7E8CA1"/>
          <w:sz w:val="18"/>
          <w:szCs w:val="18"/>
        </w:rPr>
        <w:t xml:space="preserve"> answer looks like, and what earns </w:t>
      </w:r>
      <w:r>
        <w:rPr>
          <w:rFonts w:ascii="Calibri" w:cs="Calibri" w:eastAsia="Calibri" w:hAnsi="Calibri"/>
          <w:b/>
          <w:bCs/>
          <w:color w:val="0D274D"/>
          <w:sz w:val="18"/>
          <w:szCs w:val="18"/>
        </w:rPr>
        <w:t xml:space="preserve">no credit</w:t>
      </w:r>
      <w:r>
        <w:rPr>
          <w:rFonts w:ascii="Calibri" w:cs="Calibri" w:eastAsia="Calibri" w:hAnsi="Calibri"/>
          <w:color w:val="7E8CA1"/>
          <w:sz w:val="18"/>
          <w:szCs w:val="18"/>
        </w:rPr>
        <w:t xml:space="preserve">, mapped to the score.</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Runtime detection of suspicious behaviour and policy violations inside workloads.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Isovalent Tetragon</w:t>
            </w:r>
            <w:r>
              <w:rPr>
                <w:rFonts w:ascii="Calibri" w:cs="Calibri" w:eastAsia="Calibri" w:hAnsi="Calibri"/>
                <w:color w:val="46566E"/>
                <w:sz w:val="18"/>
                <w:szCs w:val="18"/>
              </w:rPr>
              <w:t xml:space="preserve"> (eBPF runtime security)</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Workload</w:t>
            </w:r>
            <w:r>
              <w:rPr>
                <w:rFonts w:ascii="Calibri" w:cs="Calibri" w:eastAsia="Calibri" w:hAnsi="Calibri"/>
                <w:color w:val="5A6E86"/>
                <w:sz w:val="16"/>
                <w:szCs w:val="16"/>
              </w:rPr>
              <w:t xml:space="preserve"> (process and behaviour visibility with policy for workloads; credit alongside or instead of Tetragon when argued)</w:t>
            </w:r>
            <w:r>
              <w:rPr>
                <w:rFonts w:ascii="Calibri" w:cs="Calibri" w:eastAsia="Calibri" w:hAnsi="Calibri"/>
                <w:color w:val="5A6E86"/>
                <w:sz w:val="16"/>
                <w:szCs w:val="16"/>
              </w:rPr>
              <w:t xml:space="preserve">; </w:t>
            </w:r>
            <w:r>
              <w:rPr>
                <w:rFonts w:ascii="Calibri" w:cs="Calibri" w:eastAsia="Calibri" w:hAnsi="Calibri"/>
                <w:b/>
                <w:bCs/>
                <w:color w:val="0B6670"/>
                <w:sz w:val="16"/>
                <w:szCs w:val="16"/>
              </w:rPr>
              <w:t xml:space="preserve">Cisco Hypershield</w:t>
            </w:r>
            <w:r>
              <w:rPr>
                <w:rFonts w:ascii="Calibri" w:cs="Calibri" w:eastAsia="Calibri" w:hAnsi="Calibri"/>
                <w:color w:val="5A6E86"/>
                <w:sz w:val="16"/>
                <w:szCs w:val="16"/>
              </w:rPr>
              <w:t xml:space="preserve"> (in-kernel eBPF runtime detection and enforcement)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an eBPF or workload tool but not the runtime behaviour detection inside workloads.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Perimeter intrusion prevention only, with no workload runtime visibility.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where Tetragon comes in. Tetragon extends the value of Cilium by providing eBPF-based runtime security and threat detection.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Adds runtime visibility beyond basic network controls. Detects suspicious system and network behavior in real time.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Consistent Kubernetes networking and policy across clusters, with less operational complexity.</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Isovalent Cilium</w:t>
            </w:r>
            <w:r>
              <w:rPr>
                <w:rFonts w:ascii="Calibri" w:cs="Calibri" w:eastAsia="Calibri" w:hAnsi="Calibri"/>
                <w:color w:val="46566E"/>
                <w:sz w:val="18"/>
                <w:szCs w:val="18"/>
              </w:rPr>
              <w:t xml:space="preserve"> (eBPF Kubernetes networking and policy)</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Hypershield</w:t>
            </w:r>
            <w:r>
              <w:rPr>
                <w:rFonts w:ascii="Calibri" w:cs="Calibri" w:eastAsia="Calibri" w:hAnsi="Calibri"/>
                <w:color w:val="5A6E86"/>
                <w:sz w:val="16"/>
                <w:szCs w:val="16"/>
              </w:rPr>
              <w:t xml:space="preserve"> (distributed eBPF enforcement across Kubernetes and workloads)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Cilium but not the consistent networking and policy across clusters.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Per-cluster bespoke networking with no consistency.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where Isovalent Cilium helps. Cilium provides a modern, eBPF-based Kubernetes networking layer that gives you consistent connectivity, policy enforcement, and visibility across clusters and environments.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Replaces brittle, IP-centric networking models with a Kubernetes-native approach. Improves consistency across dynamic cluster environments.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Consolidating Kubernetes networking, security and observability to reduce tool sprawl.</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Isovalent Cilium with Tetragon</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Hypershield with Cisco Secure Workload</w:t>
            </w:r>
            <w:r>
              <w:rPr>
                <w:rFonts w:ascii="Calibri" w:cs="Calibri" w:eastAsia="Calibri" w:hAnsi="Calibri"/>
                <w:color w:val="5A6E86"/>
                <w:sz w:val="16"/>
                <w:szCs w:val="16"/>
              </w:rPr>
              <w:t xml:space="preserve"> (a consolidation path across enforcement and dependency visibility; credit when the tool-sprawl reduction is argued)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Cilium or Tetragon alone but not the consolidation of networking, security and observability.</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Adding another point tool that increases sprawl.</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the consolidation opportunity Isovalent addresses. With Cilium for networking and policy, and Tetragon for runtime security, you get a more unified platform for connectivity, segmentation, observability, and security.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Consolidates multiple functions into one platform approach. Reduces tool sprawl and operational friction.</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Mapping east-west flows and application dependencies to segment safely without breaking applications.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Secure Workload</w:t>
            </w:r>
            <w:r>
              <w:rPr>
                <w:rFonts w:ascii="Calibri" w:cs="Calibri" w:eastAsia="Calibri" w:hAnsi="Calibri"/>
                <w:color w:val="46566E"/>
                <w:sz w:val="18"/>
                <w:szCs w:val="18"/>
              </w:rPr>
              <w:t xml:space="preserve"> (application dependency mapping)</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Isovalent Cilium with Hubble (flow observability)</w:t>
            </w:r>
            <w:r>
              <w:rPr>
                <w:rFonts w:ascii="Calibri" w:cs="Calibri" w:eastAsia="Calibri" w:hAnsi="Calibri"/>
                <w:color w:val="5A6E86"/>
                <w:sz w:val="16"/>
                <w:szCs w:val="16"/>
              </w:rPr>
              <w:t xml:space="preserve"> (maps east-west flows to inform safe segmentation; credit alongside or instead of Secure Workload when argued)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Secure Workload but not the dependency mapping before enforcement.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Enforcing segmentation with no dependency discovery, which risks breaking applications.</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one of the biggest reasons customers adopt Cisco Secure Workload. It gives you deep visibility into workload communication and application dependency mapping, so you can see how applications actually behave before enforcing policy.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Reveals actual application communication paths. Reduces the risk of segmentation causing outages.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Worked example</w:t>
      </w:r>
    </w:p>
    <w:p>
      <w:pPr>
        <w:pBdr>
          <w:bottom w:val="single" w:color="00BCEB" w:sz="18"/>
        </w:pBdr>
        <w:spacing w:after="120"/>
      </w:pPr>
      <w:r>
        <w:rPr>
          <w:rFonts w:ascii="Calibri" w:cs="Calibri" w:eastAsia="Calibri" w:hAnsi="Calibri"/>
          <w:color w:val="14263A"/>
          <w:sz w:val="2"/>
          <w:szCs w:val="2"/>
        </w:rPr>
        <w:t xml:space="preserve"/>
      </w:r>
    </w:p>
    <w:p>
      <w:pPr>
        <w:spacing w:after="80" w:before="120" w:line="276"/>
      </w:pPr>
      <w:r>
        <w:rPr>
          <w:rFonts w:ascii="Calibri" w:cs="Calibri" w:eastAsia="Calibri" w:hAnsi="Calibri"/>
          <w:b/>
          <w:bCs/>
          <w:color w:val="0D274D"/>
          <w:sz w:val="30"/>
          <w:szCs w:val="30"/>
        </w:rPr>
        <w:t xml:space="preserve">A completed score sheet</w:t>
      </w:r>
      <w:r>
        <w:rPr>
          <w:rFonts w:ascii="Calibri" w:cs="Calibri" w:eastAsia="Calibri" w:hAnsi="Calibri"/>
          <w:b/>
          <w:bCs/>
          <w:caps/>
          <w:color w:val="155C43"/>
          <w:sz w:val="14"/>
          <w:szCs w:val="14"/>
        </w:rPr>
        <w:t xml:space="preserve">    EXAMPLE</w:t>
      </w:r>
    </w:p>
    <w:p>
      <w:pPr>
        <w:spacing w:after="120" w:before="0" w:line="276"/>
      </w:pPr>
      <w:r>
        <w:rPr>
          <w:rFonts w:ascii="Calibri" w:cs="Calibri" w:eastAsia="Calibri" w:hAnsi="Calibri"/>
          <w:color w:val="3A4C63"/>
          <w:sz w:val="21"/>
          <w:szCs w:val="21"/>
        </w:rPr>
        <w:t xml:space="preserve">This is the Proctor evaluation page from the back of the Workbook, filled in for an example team, so you can see how to record the scores and feedback before you hand the result back.</w:t>
      </w:r>
    </w:p>
    <w:p>
      <w:pPr>
        <w:spacing w:after="120" w:before="0" w:line="276"/>
      </w:pPr>
      <w:r>
        <w:rPr>
          <w:rFonts w:ascii="Calibri" w:cs="Calibri" w:eastAsia="Calibri" w:hAnsi="Calibri"/>
          <w:b/>
          <w:bCs/>
          <w:color w:val="0D274D"/>
          <w:sz w:val="21"/>
          <w:szCs w:val="21"/>
        </w:rPr>
        <w:t xml:space="preserve">Team  </w:t>
      </w:r>
      <w:r>
        <w:rPr>
          <w:rFonts w:ascii="Calibri" w:cs="Calibri" w:eastAsia="Calibri" w:hAnsi="Calibri"/>
          <w:b/>
          <w:bCs/>
          <w:color w:val="036C8F"/>
          <w:sz w:val="21"/>
          <w:szCs w:val="21"/>
        </w:rPr>
        <w:t xml:space="preserve">Blue Team       </w:t>
      </w:r>
      <w:r>
        <w:rPr>
          <w:rFonts w:ascii="Calibri" w:cs="Calibri" w:eastAsia="Calibri" w:hAnsi="Calibri"/>
          <w:b/>
          <w:bCs/>
          <w:color w:val="0D274D"/>
          <w:sz w:val="21"/>
          <w:szCs w:val="21"/>
        </w:rPr>
        <w:t xml:space="preserve">Members (up to 8)  </w:t>
      </w:r>
      <w:r>
        <w:rPr>
          <w:rFonts w:ascii="Calibri" w:cs="Calibri" w:eastAsia="Calibri" w:hAnsi="Calibri"/>
          <w:b/>
          <w:bCs/>
          <w:color w:val="036C8F"/>
          <w:sz w:val="21"/>
          <w:szCs w:val="21"/>
        </w:rPr>
        <w:t xml:space="preserve">8 present       </w:t>
      </w:r>
      <w:r>
        <w:rPr>
          <w:rFonts w:ascii="Calibri" w:cs="Calibri" w:eastAsia="Calibri" w:hAnsi="Calibri"/>
          <w:b/>
          <w:bCs/>
          <w:color w:val="0D274D"/>
          <w:sz w:val="21"/>
          <w:szCs w:val="21"/>
        </w:rPr>
        <w:t xml:space="preserve">Date  </w:t>
      </w:r>
      <w:r>
        <w:rPr>
          <w:rFonts w:ascii="Calibri" w:cs="Calibri" w:eastAsia="Calibri" w:hAnsi="Calibri"/>
          <w:b/>
          <w:bCs/>
          <w:color w:val="036C8F"/>
          <w:sz w:val="21"/>
          <w:szCs w:val="21"/>
        </w:rPr>
        <w:t xml:space="preserve">12 May</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500"/>
        <w:gridCol w:w="1900"/>
        <w:gridCol w:w="4960"/>
      </w:tblGrid>
      <w:tr>
        <w:trPr>
          <w:tblHeader/>
        </w:trPr>
        <w:tc>
          <w:tcPr>
            <w:tcW w:type="dxa" w:w="25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Case Study</w:t>
            </w:r>
          </w:p>
        </w:tc>
        <w:tc>
          <w:tcPr>
            <w:tcW w:type="dxa" w:w="19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center"/>
            </w:pPr>
            <w:r>
              <w:rPr>
                <w:rFonts w:ascii="Calibri" w:cs="Calibri" w:eastAsia="Calibri" w:hAnsi="Calibri"/>
                <w:b/>
                <w:bCs/>
                <w:caps/>
                <w:color w:val="FFFFFF"/>
                <w:sz w:val="14"/>
                <w:szCs w:val="14"/>
              </w:rPr>
              <w:t xml:space="preserve">Score / 100</w:t>
            </w:r>
          </w:p>
        </w:tc>
        <w:tc>
          <w:tcPr>
            <w:tcW w:type="dxa" w:w="496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Feedback for this case study</w:t>
            </w:r>
          </w:p>
        </w:tc>
      </w:tr>
      <w:t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1</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b/>
                <w:bCs/>
                <w:color w:val="0B6670"/>
                <w:sz w:val="20"/>
                <w:szCs w:val="20"/>
              </w:rPr>
              <w:t xml:space="preserve">66</w:t>
            </w:r>
          </w:p>
        </w:tc>
        <w:tc>
          <w:tcPr>
            <w:tcW w:type="dxa" w:w="4960"/>
            <w:tcBorders>
              <w:top w:val="single" w:color="E4EBF3" w:sz="4"/>
              <w:left w:val="none" w:color="FFFFFF" w:sz="0"/>
              <w:bottom w:val="none" w:color="FFFFFF" w:sz="0"/>
              <w:right w:val="none" w:color="FFFFFF" w:sz="0"/>
            </w:tcBorders>
            <w:tcMar>
              <w:top w:type="dxa" w:w="100"/>
              <w:left w:type="dxa" w:w="110"/>
              <w:bottom w:type="dxa" w:w="100"/>
              <w:right w:type="dxa" w:w="130"/>
            </w:tcMar>
            <w:vAlign w:val="top"/>
          </w:tcPr>
          <w:p>
            <w:pPr>
              <w:spacing w:after="0" w:before="0" w:line="276"/>
            </w:pPr>
            <w:r>
              <w:rPr>
                <w:rFonts w:ascii="Calibri" w:cs="Calibri" w:eastAsia="Calibri" w:hAnsi="Calibri"/>
                <w:i/>
                <w:iCs/>
                <w:color w:val="0B4A5E"/>
                <w:sz w:val="18"/>
                <w:szCs w:val="18"/>
              </w:rPr>
              <w:t xml:space="preserve">Right products throughout and strong on AI Defense. Tighten the Article 15 requirement and state the concrete outcomes.</w:t>
            </w:r>
          </w:p>
        </w:tc>
      </w:tr>
      <w:t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2</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b/>
                <w:bCs/>
                <w:color w:val="0B6670"/>
                <w:sz w:val="20"/>
                <w:szCs w:val="20"/>
              </w:rPr>
              <w:t xml:space="preserve">78</w:t>
            </w:r>
          </w:p>
        </w:tc>
        <w:tc>
          <w:tcPr>
            <w:tcW w:type="dxa" w:w="4960"/>
            <w:tcBorders>
              <w:top w:val="single" w:color="E4EBF3" w:sz="4"/>
              <w:left w:val="none" w:color="FFFFFF" w:sz="0"/>
              <w:bottom w:val="none" w:color="FFFFFF" w:sz="0"/>
              <w:right w:val="none" w:color="FFFFFF" w:sz="0"/>
            </w:tcBorders>
            <w:tcMar>
              <w:top w:type="dxa" w:w="100"/>
              <w:left w:type="dxa" w:w="110"/>
              <w:bottom w:type="dxa" w:w="100"/>
              <w:right w:type="dxa" w:w="130"/>
            </w:tcMar>
            <w:vAlign w:val="top"/>
          </w:tcPr>
          <w:p>
            <w:pPr>
              <w:spacing w:after="0" w:before="0" w:line="276"/>
            </w:pPr>
            <w:r>
              <w:rPr>
                <w:rFonts w:ascii="Calibri" w:cs="Calibri" w:eastAsia="Calibri" w:hAnsi="Calibri"/>
                <w:i/>
                <w:iCs/>
                <w:color w:val="0B4A5E"/>
                <w:sz w:val="18"/>
                <w:szCs w:val="18"/>
              </w:rPr>
              <w:t xml:space="preserve">Excellent multicloud segmentation and a clear audit story. One pain point was light on the single, unified policy model.</w:t>
            </w:r>
          </w:p>
        </w:tc>
      </w:tr>
      <w:t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3</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b/>
                <w:bCs/>
                <w:color w:val="0B6670"/>
                <w:sz w:val="20"/>
                <w:szCs w:val="20"/>
              </w:rPr>
              <w:t xml:space="preserve">72</w:t>
            </w:r>
          </w:p>
        </w:tc>
        <w:tc>
          <w:tcPr>
            <w:tcW w:type="dxa" w:w="4960"/>
            <w:tcBorders>
              <w:top w:val="single" w:color="E4EBF3" w:sz="4"/>
              <w:left w:val="none" w:color="FFFFFF" w:sz="0"/>
              <w:bottom w:val="none" w:color="FFFFFF" w:sz="0"/>
              <w:right w:val="none" w:color="FFFFFF" w:sz="0"/>
            </w:tcBorders>
            <w:tcMar>
              <w:top w:type="dxa" w:w="100"/>
              <w:left w:type="dxa" w:w="110"/>
              <w:bottom w:type="dxa" w:w="100"/>
              <w:right w:type="dxa" w:w="130"/>
            </w:tcMar>
            <w:vAlign w:val="top"/>
          </w:tcPr>
          <w:p>
            <w:pPr>
              <w:spacing w:after="0" w:before="0" w:line="276"/>
            </w:pPr>
            <w:r>
              <w:rPr>
                <w:rFonts w:ascii="Calibri" w:cs="Calibri" w:eastAsia="Calibri" w:hAnsi="Calibri"/>
                <w:i/>
                <w:iCs/>
                <w:color w:val="0B4A5E"/>
                <w:sz w:val="18"/>
                <w:szCs w:val="18"/>
              </w:rPr>
              <w:t xml:space="preserve">Good automated containment with ISE. The encrypted-traffic answer needed EVE rather than blanket decryption.</w:t>
            </w:r>
          </w:p>
        </w:tc>
      </w:tr>
      <w:t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4</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b/>
                <w:bCs/>
                <w:color w:val="0B6670"/>
                <w:sz w:val="20"/>
                <w:szCs w:val="20"/>
              </w:rPr>
              <w:t xml:space="preserve">64</w:t>
            </w:r>
          </w:p>
        </w:tc>
        <w:tc>
          <w:tcPr>
            <w:tcW w:type="dxa" w:w="4960"/>
            <w:tcBorders>
              <w:top w:val="single" w:color="E4EBF3" w:sz="4"/>
              <w:left w:val="none" w:color="FFFFFF" w:sz="0"/>
              <w:bottom w:val="none" w:color="FFFFFF" w:sz="0"/>
              <w:right w:val="none" w:color="FFFFFF" w:sz="0"/>
            </w:tcBorders>
            <w:tcMar>
              <w:top w:type="dxa" w:w="100"/>
              <w:left w:type="dxa" w:w="110"/>
              <w:bottom w:type="dxa" w:w="100"/>
              <w:right w:type="dxa" w:w="130"/>
            </w:tcMar>
            <w:vAlign w:val="top"/>
          </w:tcPr>
          <w:p>
            <w:pPr>
              <w:spacing w:after="0" w:before="0" w:line="276"/>
            </w:pPr>
            <w:r>
              <w:rPr>
                <w:rFonts w:ascii="Calibri" w:cs="Calibri" w:eastAsia="Calibri" w:hAnsi="Calibri"/>
                <w:i/>
                <w:iCs/>
                <w:color w:val="0B4A5E"/>
                <w:sz w:val="18"/>
                <w:szCs w:val="18"/>
              </w:rPr>
              <w:t xml:space="preserve">Solid Kubernetes segmentation. Dependency mapping before enforcement was implied rather than stated.</w:t>
            </w:r>
          </w:p>
        </w:tc>
      </w:tr>
      <w:tr>
        <w:tc>
          <w:tcPr>
            <w:tcW w:type="dxa" w:w="2500"/>
            <w:tcBorders>
              <w:top w:val="single" w:color="C4D2E2" w:sz="10"/>
              <w:left w:val="none" w:color="FFFFFF" w:sz="0"/>
              <w:bottom w:val="none" w:color="FFFFFF" w:sz="0"/>
              <w:right w:val="none" w:color="FFFFFF" w:sz="0"/>
            </w:tcBorders>
            <w:shd w:fill="EAF1F8" w:color="auto" w:val="clear"/>
            <w:tcMar>
              <w:top w:type="dxa" w:w="100"/>
              <w:left w:type="dxa" w:w="130"/>
              <w:bottom w:type="dxa" w:w="100"/>
              <w:right w:type="dxa" w:w="110"/>
            </w:tcMar>
          </w:tcPr>
          <w:p>
            <w:pPr>
              <w:spacing w:after="0" w:before="0" w:line="276"/>
            </w:pPr>
            <w:r>
              <w:rPr>
                <w:rFonts w:ascii="Calibri" w:cs="Calibri" w:eastAsia="Calibri" w:hAnsi="Calibri"/>
                <w:b/>
                <w:bCs/>
                <w:color w:val="0D274D"/>
                <w:sz w:val="20"/>
                <w:szCs w:val="20"/>
              </w:rPr>
              <w:t xml:space="preserve">Overall total</w:t>
            </w:r>
          </w:p>
        </w:tc>
        <w:tc>
          <w:tcPr>
            <w:tcW w:type="dxa" w:w="190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10"/>
            </w:tcMar>
          </w:tcPr>
          <w:p>
            <w:pPr>
              <w:spacing w:after="0" w:before="0" w:line="276"/>
              <w:jc w:val="center"/>
            </w:pPr>
            <w:r>
              <w:rPr>
                <w:rFonts w:ascii="Calibri" w:cs="Calibri" w:eastAsia="Calibri" w:hAnsi="Calibri"/>
                <w:b/>
                <w:bCs/>
                <w:color w:val="0B6670"/>
                <w:sz w:val="20"/>
                <w:szCs w:val="20"/>
              </w:rPr>
              <w:t xml:space="preserve">280</w:t>
            </w:r>
            <w:r>
              <w:rPr>
                <w:rFonts w:ascii="Calibri" w:cs="Calibri" w:eastAsia="Calibri" w:hAnsi="Calibri"/>
                <w:b/>
                <w:bCs/>
                <w:color w:val="0D274D"/>
                <w:sz w:val="19"/>
                <w:szCs w:val="19"/>
              </w:rPr>
              <w:t xml:space="preserve"> / 400</w:t>
            </w:r>
          </w:p>
        </w:tc>
        <w:tc>
          <w:tcPr>
            <w:tcW w:type="dxa" w:w="496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30"/>
            </w:tcMar>
          </w:tcPr>
          <w:p>
            <w:pPr>
              <w:spacing w:after="0" w:before="0" w:line="276"/>
            </w:pPr>
            <w:r>
              <w:rPr>
                <w:rFonts w:ascii="Calibri" w:cs="Calibri" w:eastAsia="Calibri" w:hAnsi="Calibri"/>
                <w:color w:val="14263A"/>
                <w:sz w:val="2"/>
                <w:szCs w:val="2"/>
              </w:rPr>
              <w:t xml:space="preserve"/>
            </w:r>
          </w:p>
        </w:tc>
      </w:tr>
    </w:tbl>
    <w:p>
      <w:pPr>
        <w:spacing w:after="120"/>
      </w:pPr>
      <w:r>
        <w:rPr>
          <w:rFonts w:ascii="Calibri" w:cs="Calibri" w:eastAsia="Calibri" w:hAnsi="Calibri"/>
          <w:color w:val="14263A"/>
          <w:sz w:val="2"/>
          <w:szCs w:val="2"/>
        </w:rPr>
        <w:t xml:space="preserve"/>
      </w:r>
    </w:p>
    <w:p>
      <w:pPr>
        <w:spacing w:after="120" w:before="0" w:line="276"/>
      </w:pPr>
      <w:r>
        <w:rPr>
          <w:rFonts w:ascii="Calibri" w:cs="Calibri" w:eastAsia="Calibri" w:hAnsi="Calibri"/>
          <w:b/>
          <w:bCs/>
          <w:color w:val="0D274D"/>
          <w:sz w:val="21"/>
          <w:szCs w:val="21"/>
        </w:rPr>
        <w:t xml:space="preserve">Overall grade  </w:t>
      </w:r>
      <w:r>
        <w:rPr>
          <w:rFonts w:ascii="Calibri" w:cs="Calibri" w:eastAsia="Calibri" w:hAnsi="Calibri"/>
          <w:b/>
          <w:bCs/>
          <w:color w:val="0B6670"/>
          <w:sz w:val="21"/>
          <w:szCs w:val="21"/>
        </w:rPr>
        <w:t xml:space="preserve">Solution Builder     </w:t>
      </w:r>
      <w:r>
        <w:rPr>
          <w:rFonts w:ascii="Calibri" w:cs="Calibri" w:eastAsia="Calibri" w:hAnsi="Calibri"/>
          <w:color w:val="7E8CA1"/>
          <w:sz w:val="16"/>
          <w:szCs w:val="16"/>
        </w:rPr>
        <w:t xml:space="preserve">(Solution Strategist 300 to 400;  Solution Builder 200 to 299;  Solution Explorer up to 199)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9"/>
                <w:szCs w:val="19"/>
              </w:rPr>
              <w:t xml:space="preserve">Topology diagram: SME review.  </w:t>
            </w:r>
            <w:r>
              <w:rPr>
                <w:rFonts w:ascii="Calibri" w:cs="Calibri" w:eastAsia="Calibri" w:hAnsi="Calibri"/>
                <w:color w:val="33465F"/>
                <w:sz w:val="19"/>
                <w:szCs w:val="19"/>
              </w:rPr>
              <w:t xml:space="preserve">The team's Hybrid Mesh Firewall diagram is submitted for Subject Matter Expert review and is not part of the score.    Reviewed by SME:  Yes </w:t>
            </w:r>
            <w:r>
              <w:rPr>
                <w:rFonts w:ascii="Calibri" w:cs="Calibri" w:eastAsia="Calibri" w:hAnsi="Calibri"/>
                <w:b/>
                <w:bCs/>
                <w:color w:val="0B6670"/>
                <w:sz w:val="19"/>
                <w:szCs w:val="19"/>
              </w:rPr>
              <w:t xml:space="preserve">[x]</w:t>
            </w:r>
            <w:r>
              <w:rPr>
                <w:rFonts w:ascii="Calibri" w:cs="Calibri" w:eastAsia="Calibri" w:hAnsi="Calibri"/>
                <w:color w:val="33465F"/>
                <w:sz w:val="19"/>
                <w:szCs w:val="19"/>
              </w:rPr>
              <w:t xml:space="preserve">   No </w:t>
            </w:r>
            <w:r>
              <w:rPr>
                <w:rFonts w:ascii="Calibri" w:cs="Calibri" w:eastAsia="Calibri" w:hAnsi="Calibri"/>
                <w:color w:val="9AA8BC"/>
                <w:sz w:val="19"/>
                <w:szCs w:val="19"/>
              </w:rPr>
              <w:t xml:space="preserve">[  ]</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50" w:before="0" w:line="276"/>
            </w:pPr>
            <w:r>
              <w:rPr>
                <w:rFonts w:ascii="Calibri" w:cs="Calibri" w:eastAsia="Calibri" w:hAnsi="Calibri"/>
                <w:b/>
                <w:bCs/>
                <w:color w:val="0D274D"/>
                <w:sz w:val="18"/>
                <w:szCs w:val="18"/>
              </w:rPr>
              <w:t xml:space="preserve">What the team did well</w:t>
            </w:r>
          </w:p>
          <w:p>
            <w:pPr>
              <w:spacing w:after="0" w:before="0" w:line="276"/>
            </w:pPr>
            <w:r>
              <w:rPr>
                <w:rFonts w:ascii="Calibri" w:cs="Calibri" w:eastAsia="Calibri" w:hAnsi="Calibri"/>
                <w:i/>
                <w:iCs/>
                <w:color w:val="0B4A5E"/>
                <w:sz w:val="19"/>
                <w:szCs w:val="19"/>
              </w:rPr>
              <w:t xml:space="preserve">Consistently named the right Cisco products and tied them to Cedarline's estate. Customer-ready value stories in Case Studies 2 and 3.</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50" w:before="0" w:line="276"/>
            </w:pPr>
            <w:r>
              <w:rPr>
                <w:rFonts w:ascii="Calibri" w:cs="Calibri" w:eastAsia="Calibri" w:hAnsi="Calibri"/>
                <w:b/>
                <w:bCs/>
                <w:color w:val="0D274D"/>
                <w:sz w:val="18"/>
                <w:szCs w:val="18"/>
              </w:rPr>
              <w:t xml:space="preserve">Where they can learn and grow</w:t>
            </w:r>
          </w:p>
          <w:p>
            <w:pPr>
              <w:spacing w:after="0" w:before="0" w:line="276"/>
            </w:pPr>
            <w:r>
              <w:rPr>
                <w:rFonts w:ascii="Calibri" w:cs="Calibri" w:eastAsia="Calibri" w:hAnsi="Calibri"/>
                <w:i/>
                <w:iCs/>
                <w:color w:val="0B4A5E"/>
                <w:sz w:val="19"/>
                <w:szCs w:val="19"/>
              </w:rPr>
              <w:t xml:space="preserve">Name the underlying requirement before reaching for the product, and always close with the concrete Cedarline outcome.</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That is the whole flow.  </w:t>
            </w:r>
            <w:r>
              <w:rPr>
                <w:rFonts w:ascii="Calibri" w:cs="Calibri" w:eastAsia="Calibri" w:hAnsi="Calibri"/>
                <w:color w:val="33465F"/>
                <w:sz w:val="20"/>
                <w:szCs w:val="20"/>
              </w:rPr>
              <w:t xml:space="preserve">Grade every pain point on the rubric, total each case study, then fill in this page inside the team's Workbook exactly like the example above, and hand it back as their result and feedback.</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2026-08-04T02:07:31.720Z</dcterms:created>
  <dcterms:modified xsi:type="dcterms:W3CDTF">2026-08-04T02:07:31.720Z</dcterms:modified>
</cp:coreProperties>
</file>

<file path=docProps/custom.xml><?xml version="1.0" encoding="utf-8"?>
<Properties xmlns="http://schemas.openxmlformats.org/officeDocument/2006/custom-properties" xmlns:vt="http://schemas.openxmlformats.org/officeDocument/2006/docPropsVTypes"/>
</file>