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w:t>
      </w:r>
    </w:p>
    <w:p>
      <w:pPr>
        <w:spacing w:after="60" w:before="0" w:line="276"/>
      </w:pPr>
      <w:r>
        <w:rPr>
          <w:rFonts w:ascii="Calibri" w:cs="Calibri" w:eastAsia="Calibri" w:hAnsi="Calibri"/>
          <w:b/>
          <w:bCs/>
          <w:color w:val="0D274D"/>
          <w:sz w:val="40"/>
          <w:szCs w:val="40"/>
        </w:rPr>
        <w:t xml:space="preserve">HMF Design Clinic Workbook</w:t>
      </w:r>
    </w:p>
    <w:p>
      <w:pPr>
        <w:spacing w:after="140" w:before="0" w:line="276"/>
      </w:pPr>
      <w:r>
        <w:rPr>
          <w:rFonts w:ascii="Calibri" w:cs="Calibri" w:eastAsia="Calibri" w:hAnsi="Calibri"/>
          <w:color w:val="3A4C63"/>
          <w:sz w:val="24"/>
          <w:szCs w:val="24"/>
        </w:rPr>
        <w:t xml:space="preserve">Cedarline Health Group, a Hybrid Mesh Firewall design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color w:val="22415C"/>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120"/>
      </w:pPr>
      <w:r>
        <w:rPr>
          <w:rFonts w:ascii="Calibri" w:cs="Calibri" w:eastAsia="Calibri" w:hAnsi="Calibri"/>
          <w:color w:val="14263A"/>
          <w:sz w:val="2"/>
          <w:szCs w:val="2"/>
        </w:rPr>
        <w:t xml:space="preserve"/>
      </w:r>
    </w:p>
    <w:p>
      <w:pPr>
        <w:spacing w:after="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p>
      <w:pPr>
        <w:pageBreakBefore/>
        <w:spacing w:after="0" w:before="0" w:line="276"/>
      </w:pPr>
    </w:p>
    <w:p>
      <w:pPr>
        <w:spacing w:after="40" w:before="0" w:line="276"/>
      </w:pPr>
      <w:r>
        <w:rPr>
          <w:rFonts w:ascii="Calibri" w:cs="Calibri" w:eastAsia="Calibri" w:hAnsi="Calibri"/>
          <w:b/>
          <w:bCs/>
          <w:caps/>
          <w:color w:val="036C8F"/>
          <w:sz w:val="16"/>
          <w:szCs w:val="16"/>
        </w:rPr>
        <w:t xml:space="preserve">Start here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you will walk away able to do</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How your answers are assessed</w:t>
      </w:r>
    </w:p>
    <w:p>
      <w:pPr>
        <w:spacing w:after="100" w:before="0" w:line="276"/>
      </w:pPr>
      <w:r>
        <w:rPr>
          <w:rFonts w:ascii="Calibri" w:cs="Calibri" w:eastAsia="Calibri" w:hAnsi="Calibri"/>
          <w:color w:val="3A4C63"/>
          <w:sz w:val="21"/>
          <w:szCs w:val="21"/>
        </w:rPr>
        <w:t xml:space="preserve">Each pain point is scored across three dimensions: Problem Identifier out of 5, Solution Designer out of 10, and Value Communicator out of 10, for 25 per pain point.</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grade is cumulative.  </w:t>
            </w:r>
            <w:r>
              <w:rPr>
                <w:rFonts w:ascii="Calibri" w:cs="Calibri" w:eastAsia="Calibri" w:hAnsi="Calibri"/>
                <w:color w:val="33465F"/>
                <w:sz w:val="20"/>
                <w:szCs w:val="20"/>
              </w:rPr>
              <w:t xml:space="preserve">The scores add up. Your four pain points make a case study score out of 100, and your four case study scores are added together into a cumulative score out of 400. That cumulative score gives your team an overall grade: Solution Strategist (300 to 400), Solution Builder (200 to 299), Solution Explorer (up to 199). Every case study counts, so aim for a strong answer on all sixteen pain points.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three-part answer.  </w:t>
            </w:r>
            <w:r>
              <w:rPr>
                <w:rFonts w:ascii="Calibri" w:cs="Calibri" w:eastAsia="Calibri" w:hAnsi="Calibri"/>
                <w:color w:val="33465F"/>
                <w:sz w:val="20"/>
                <w:szCs w:val="20"/>
              </w:rPr>
              <w:t xml:space="preserve">For every customer concern you write three things, one for each dimension you are scored on: the requirement behind the concern (identify the problem), a Product / platform (design the solution), and how it helps and the outcome (communicate the value).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9DEC9" w:sz="6"/>
              <w:left w:val="single" w:color="A9DEC9" w:sz="6"/>
              <w:bottom w:val="single" w:color="A9DEC9" w:sz="6"/>
              <w:right w:val="single" w:color="A9DEC9" w:sz="6"/>
            </w:tcBorders>
            <w:shd w:fill="EAF7F0" w:color="auto" w:val="clear"/>
            <w:tcMar>
              <w:top w:type="dxa" w:w="110"/>
              <w:left w:type="dxa" w:w="160"/>
              <w:bottom w:type="dxa" w:w="110"/>
              <w:right w:type="dxa" w:w="160"/>
            </w:tcMar>
            <w:vAlign w:val="top"/>
          </w:tcPr>
          <w:p>
            <w:pPr>
              <w:spacing w:after="40" w:before="0" w:line="276"/>
            </w:pPr>
            <w:r>
              <w:rPr>
                <w:rFonts w:ascii="Calibri" w:cs="Calibri" w:eastAsia="Calibri" w:hAnsi="Calibri"/>
                <w:b/>
                <w:bCs/>
                <w:color w:val="155C43"/>
                <w:sz w:val="21"/>
                <w:szCs w:val="21"/>
              </w:rPr>
              <w:t xml:space="preserve">Quick start</w:t>
            </w:r>
          </w:p>
          <w:p>
            <w:pPr>
              <w:spacing w:after="0" w:before="0" w:line="276"/>
            </w:pPr>
            <w:r>
              <w:rPr>
                <w:rFonts w:ascii="Calibri" w:cs="Calibri" w:eastAsia="Calibri" w:hAnsi="Calibri"/>
                <w:color w:val="26543F"/>
                <w:sz w:val="20"/>
                <w:szCs w:val="20"/>
              </w:rPr>
              <w:t xml:space="preserve">In your pair, take one case study. For each pain point: name the requirement, pick a product from the cheat-strip, and write how it helps and the outcome. About five minutes per pain point.</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E6F3" w:sz="6"/>
              <w:left w:val="single" w:color="B7E6F3" w:sz="6"/>
              <w:bottom w:val="single" w:color="B7E6F3" w:sz="6"/>
              <w:right w:val="single" w:color="B7E6F3" w:sz="6"/>
            </w:tcBorders>
            <w:shd w:fill="F2FB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21"/>
                <w:szCs w:val="21"/>
              </w:rPr>
              <w:t xml:space="preserve">Before you submit, self-check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Problem: did we name the real requirement behind the concern, not just the surface ask?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Solution: did we recommend a specific Cisco product and the approach, not only a product name?</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Value: did we explain how it works and the outcome for Cedarline?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A 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a strong answer looks like</w:t>
      </w:r>
    </w:p>
    <w:p>
      <w:pPr>
        <w:spacing w:after="120" w:before="0" w:line="276"/>
      </w:pPr>
      <w:r>
        <w:rPr>
          <w:rFonts w:ascii="Calibri" w:cs="Calibri" w:eastAsia="Calibri" w:hAnsi="Calibri"/>
          <w:color w:val="3A4C63"/>
          <w:sz w:val="21"/>
          <w:szCs w:val="21"/>
        </w:rPr>
        <w:t xml:space="preserve">This is an example only, from a different customer conversation. The four case studies you will work are different. Notice how the response identifies the problem, designs the solution, and communicates the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34"/>
              <w:bottom w:val="single" w:color="CBD5E3" w:sz="6"/>
              <w:right w:val="single" w:color="CBD5E3" w:sz="6"/>
            </w:tcBorders>
            <w:shd w:fill="FCFEFF" w:color="auto" w:val="clear"/>
            <w:tcMar>
              <w:top w:type="dxa" w:w="110"/>
              <w:left w:type="dxa" w:w="160"/>
              <w:bottom w:type="dxa" w:w="110"/>
              <w:right w:type="dxa" w:w="160"/>
            </w:tcMar>
            <w:vAlign w:val="top"/>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support team uses a public AI chatbot to draft replies, and staff sometimes paste patient details into it. We cannot see or control what leaves the organisation.</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0B6670"/>
                      <w:sz w:val="20"/>
                      <w:szCs w:val="20"/>
                    </w:rPr>
                    <w:t xml:space="preserve">Cisco AI Defense</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Solution Engineer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4A3AA8"/>
                      <w:sz w:val="20"/>
                      <w:szCs w:val="20"/>
                    </w:rPr>
                    <w:t xml:space="preserve">Identify. </w:t>
                  </w:r>
                  <w:r>
                    <w:rPr>
                      <w:rFonts w:ascii="Calibri" w:cs="Calibri" w:eastAsia="Calibri" w:hAnsi="Calibri"/>
                      <w:color w:val="2A3C52"/>
                      <w:sz w:val="20"/>
                      <w:szCs w:val="20"/>
                    </w:rPr>
                    <w:t xml:space="preserve">The real requirement is preventing sensitive patient data from leaving the organisation through an unsanctioned AI app, with visibility and control over how it is used. </w:t>
                  </w:r>
                  <w:r>
                    <w:rPr>
                      <w:rFonts w:ascii="Calibri" w:cs="Calibri" w:eastAsia="Calibri" w:hAnsi="Calibri"/>
                      <w:b/>
                      <w:bCs/>
                      <w:color w:val="0B6670"/>
                      <w:sz w:val="20"/>
                      <w:szCs w:val="20"/>
                    </w:rPr>
                    <w:t xml:space="preserve">Design. </w:t>
                  </w:r>
                  <w:r>
                    <w:rPr>
                      <w:rFonts w:ascii="Calibri" w:cs="Calibri" w:eastAsia="Calibri" w:hAnsi="Calibri"/>
                      <w:color w:val="2A3C52"/>
                      <w:sz w:val="20"/>
                      <w:szCs w:val="20"/>
                    </w:rPr>
                    <w:t xml:space="preserve">Cisco AI Defense discovers the AI applications in use and applies runtime guardrails to the prompt and response traffic, so risky data is caught in real time. </w:t>
                  </w:r>
                  <w:r>
                    <w:rPr>
                      <w:rFonts w:ascii="Calibri" w:cs="Calibri" w:eastAsia="Calibri" w:hAnsi="Calibri"/>
                      <w:b/>
                      <w:bCs/>
                      <w:color w:val="9A6516"/>
                      <w:sz w:val="20"/>
                      <w:szCs w:val="20"/>
                    </w:rPr>
                    <w:t xml:space="preserve">Communicate. </w:t>
                  </w:r>
                  <w:r>
                    <w:rPr>
                      <w:rFonts w:ascii="Calibri" w:cs="Calibri" w:eastAsia="Calibri" w:hAnsi="Calibri"/>
                      <w:color w:val="2A3C52"/>
                      <w:sz w:val="20"/>
                      <w:szCs w:val="20"/>
                    </w:rPr>
                    <w:t xml:space="preserve">This lets the support team keep using AI safely rather than banning it, protects patient data and compliance, and adds no friction to their day-to-day work.</w:t>
                  </w:r>
                </w:p>
              </w:tc>
            </w:tr>
          </w:tbl>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Your toolkit</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HMF product cheat-strip</w:t>
      </w:r>
    </w:p>
    <w:p>
      <w:pPr>
        <w:spacing w:after="50" w:before="0" w:line="276"/>
      </w:pPr>
      <w:r>
        <w:rPr>
          <w:rFonts w:ascii="Calibri" w:cs="Calibri" w:eastAsia="Calibri" w:hAnsi="Calibri"/>
          <w:color w:val="3A4C63"/>
          <w:sz w:val="21"/>
          <w:szCs w:val="21"/>
        </w:rPr>
        <w:t xml:space="preserve">The products, platforms and features available across the Hybrid Mesh Firewall. Use it to identify which one fits each pain point; which fits which concern is for you to decide.</w:t>
      </w:r>
    </w:p>
    <w:p>
      <w:pPr>
        <w:spacing w:after="40" w:before="0" w:line="276"/>
      </w:pPr>
      <w:r>
        <w:rPr>
          <w:rFonts w:ascii="Calibri" w:cs="Calibri" w:eastAsia="Calibri" w:hAnsi="Calibri"/>
          <w:i/>
          <w:iCs/>
          <w:color w:val="7E8CA1"/>
          <w:sz w:val="17"/>
          <w:szCs w:val="17"/>
        </w:rPr>
        <w:t xml:space="preserve">Tip: detach this page and keep it beside you while you work.</w:t>
      </w:r>
    </w:p>
    <w:p>
      <w:pPr>
        <w:spacing w:after="30" w:before="130" w:line="276"/>
      </w:pPr>
      <w:r>
        <w:rPr>
          <w:rFonts w:ascii="Calibri" w:cs="Calibri" w:eastAsia="Calibri" w:hAnsi="Calibri"/>
          <w:b/>
          <w:bCs/>
          <w:caps/>
          <w:color w:val="0D274D"/>
          <w:sz w:val="15"/>
          <w:szCs w:val="15"/>
        </w:rPr>
        <w:t xml:space="preserve">Platforms and products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AI Defense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Secures AI applications and models across build and runtime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Multicloud Defense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One security policy plane across public clouds</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(FTD)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next-generation firewall, Firewall Threat Defense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Management Center (FMC)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The centralised manager for the Secure Firewall estate, handling…</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Security Cloud Control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Cloud-delivered management across the firewall and security estate, for…</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Workload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Application-dependency mapping and micro-segmentation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Identity Services Engine (ISE)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Network identity and access control</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Hypershield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AI-native, highly distributed security enforcement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Cilium</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Kubernetes networking and policy, giving consistent…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Tetragon</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runtime security for workloads, detecting suspicious system…</w:t>
            </w:r>
          </w:p>
        </w:tc>
      </w:tr>
    </w:tbl>
    <w:p>
      <w:pPr>
        <w:spacing w:after="30" w:before="130" w:line="276"/>
      </w:pPr>
      <w:r>
        <w:rPr>
          <w:rFonts w:ascii="Calibri" w:cs="Calibri" w:eastAsia="Calibri" w:hAnsi="Calibri"/>
          <w:b/>
          <w:bCs/>
          <w:caps/>
          <w:color w:val="0D274D"/>
          <w:sz w:val="15"/>
          <w:szCs w:val="15"/>
        </w:rPr>
        <w:t xml:space="preserve">Key capabilities and features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Encrypted Visibility Engine (EVE)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infers threats from encrypted traffic…</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Snort ML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adds machine-learning detection…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pxGrid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a context-sharing fabric so security tools can act…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Adaptive Network Control (ANC)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that quarantines or restricts a device in real 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Security Group Tags (SGT)</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Group-based policy tags (Cisco TrustSec) that enable scalable,…</w:t>
            </w:r>
          </w:p>
        </w:tc>
      </w:tr>
    </w:tbl>
    <w:p>
      <w:pPr>
        <w:spacing w:after="30" w:before="130" w:line="276"/>
      </w:pPr>
      <w:r>
        <w:rPr>
          <w:rFonts w:ascii="Calibri" w:cs="Calibri" w:eastAsia="Calibri" w:hAnsi="Calibri"/>
          <w:b/>
          <w:bCs/>
          <w:caps/>
          <w:color w:val="0D274D"/>
          <w:sz w:val="15"/>
          <w:szCs w:val="15"/>
        </w:rPr>
        <w:t xml:space="preserve">Architecture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Hybrid Mesh Firewall (HMF)</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approach to consistent security enforcement across firewalls,…</w:t>
            </w:r>
          </w:p>
        </w:tc>
      </w:tr>
    </w:tbl>
    <w:p>
      <w:pPr>
        <w:spacing w:after="80" w:before="180" w:line="276"/>
      </w:pPr>
      <w:r>
        <w:rPr>
          <w:rFonts w:ascii="Calibri" w:cs="Calibri" w:eastAsia="Calibri" w:hAnsi="Calibri"/>
          <w:b/>
          <w:bCs/>
          <w:color w:val="0D274D"/>
          <w:sz w:val="30"/>
          <w:szCs w:val="30"/>
        </w:rPr>
        <w:t xml:space="preserve">Decode the jargon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EU AI Act, Article 15</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EU law classifying AI by risk. A 'Provider' must prove robustness and cybersecurity.</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MCP (Model Context Protocol)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How AI agents connect to tools and data, creating a new supply-chain surface to secure.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East-west traffic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Traffic between workloads inside the data centre, as opposed to north-south, which flows in and out.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Lateral movement</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attacker hopping from one compromised system to others on the inside.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Micro-segmentation</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Fine-grained isolation of individual workloads so a breach cannot spread.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eBPF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Linux kernel technology used to observe and enforce networking and security with low overhead.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EVE (Encrypted Visibility Engine)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Infers threats from encrypted traffic patterns without decrypting it.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Machine-learning detection inside the Snort engine for unknown and zero-day exploits.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context-sharing fabric so tools can act on identity, for example an automatic quarantine via ISE.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Consistent security enforcement across firewalls, cloud gateways, workloads and Kubernetes, managed centrally.</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Bring it together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Your Hybrid Mesh Firewall design</w:t>
      </w:r>
    </w:p>
    <w:p>
      <w:pPr>
        <w:spacing w:after="140" w:before="0" w:line="276"/>
      </w:pPr>
      <w:r>
        <w:rPr>
          <w:rFonts w:ascii="Calibri" w:cs="Calibri" w:eastAsia="Calibri" w:hAnsi="Calibri"/>
          <w:color w:val="3A4C63"/>
          <w:sz w:val="21"/>
          <w:szCs w:val="21"/>
        </w:rPr>
        <w:t xml:space="preserve">Four conversations, one story. Combine your case studies into a single HMF design and paste your team's topology below. Your facilitator collects this for </w:t>
      </w:r>
      <w:r>
        <w:rPr>
          <w:rFonts w:ascii="Calibri" w:cs="Calibri" w:eastAsia="Calibri" w:hAnsi="Calibri"/>
          <w:b/>
          <w:bCs/>
          <w:color w:val="0D274D"/>
          <w:sz w:val="21"/>
          <w:szCs w:val="21"/>
        </w:rPr>
        <w:t xml:space="preserve">Subject Matter Expert (SME) review</w:t>
      </w:r>
      <w:r>
        <w:rPr>
          <w:rFonts w:ascii="Calibri" w:cs="Calibri" w:eastAsia="Calibri" w:hAnsi="Calibri"/>
          <w:color w:val="3A4C63"/>
          <w:sz w:val="21"/>
          <w:szCs w:val="21"/>
        </w:rPr>
        <w:t xml:space="preserve">: it is reviewed, not scored.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55" w:hRule="atLeast"/>
        </w:trP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center"/>
          </w:tcPr>
          <w:p>
            <w:pPr>
              <w:spacing w:after="60" w:before="0" w:line="276"/>
              <w:jc w:val="center"/>
            </w:pPr>
            <w:r>
              <w:rPr>
                <w:rFonts w:ascii="Calibri" w:cs="Calibri" w:eastAsia="Calibri" w:hAnsi="Calibri"/>
                <w:b/>
                <w:bCs/>
                <w:color w:val="0D274D"/>
                <w:sz w:val="26"/>
                <w:szCs w:val="26"/>
              </w:rPr>
              <w:t xml:space="preserve">Paste your team's topology diagram here</w:t>
            </w:r>
          </w:p>
          <w:p>
            <w:pPr>
              <w:spacing w:after="0" w:before="0" w:line="276"/>
              <w:jc w:val="center"/>
            </w:pPr>
            <w:r>
              <w:rPr>
                <w:rFonts w:ascii="Calibri" w:cs="Calibri" w:eastAsia="Calibri" w:hAnsi="Calibri"/>
                <w:color w:val="6B7D93"/>
                <w:sz w:val="20"/>
                <w:szCs w:val="20"/>
              </w:rPr>
              <w:t xml:space="preserve">Show how the four case studies connect across Cedarline's on-prem, data-centre and multicloud estate. Submitted for SME review.</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For the proctor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Proctor evaluation</w:t>
      </w:r>
    </w:p>
    <w:p>
      <w:pPr>
        <w:spacing w:after="120" w:before="0" w:line="276"/>
      </w:pPr>
      <w:r>
        <w:rPr>
          <w:rFonts w:ascii="Calibri" w:cs="Calibri" w:eastAsia="Calibri" w:hAnsi="Calibri"/>
          <w:color w:val="3A4C63"/>
          <w:sz w:val="21"/>
          <w:szCs w:val="21"/>
        </w:rPr>
        <w:t xml:space="preserve">This page is completed by the proctor after your team submits the Workbook. Each case study is scored out of 100 against the Grading Guide, with feedback that supports the score, for an overall score out of 400.</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500"/>
        <w:gridCol w:w="1900"/>
        <w:gridCol w:w="4960"/>
      </w:tblGrid>
      <w:tr>
        <w:trPr>
          <w:tblHeader/>
        </w:trPr>
        <w:tc>
          <w:tcPr>
            <w:tcW w:type="dxa" w:w="25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Case Study</w:t>
            </w:r>
          </w:p>
        </w:tc>
        <w:tc>
          <w:tcPr>
            <w:tcW w:type="dxa" w:w="19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center"/>
            </w:pPr>
            <w:r>
              <w:rPr>
                <w:rFonts w:ascii="Calibri" w:cs="Calibri" w:eastAsia="Calibri" w:hAnsi="Calibri"/>
                <w:b/>
                <w:bCs/>
                <w:caps/>
                <w:color w:val="FFFFFF"/>
                <w:sz w:val="14"/>
                <w:szCs w:val="14"/>
              </w:rPr>
              <w:t xml:space="preserve">Score / 100</w:t>
            </w:r>
          </w:p>
        </w:tc>
        <w:tc>
          <w:tcPr>
            <w:tcW w:type="dxa" w:w="496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Feedback for this case study</w:t>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1</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2</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3</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4</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c>
          <w:tcPr>
            <w:tcW w:type="dxa" w:w="2500"/>
            <w:tcBorders>
              <w:top w:val="single" w:color="C4D2E2" w:sz="10"/>
              <w:left w:val="none" w:color="FFFFFF" w:sz="0"/>
              <w:bottom w:val="none" w:color="FFFFFF" w:sz="0"/>
              <w:right w:val="none" w:color="FFFFFF" w:sz="0"/>
            </w:tcBorders>
            <w:shd w:fill="EAF1F8" w:color="auto" w:val="clear"/>
            <w:tcMar>
              <w:top w:type="dxa" w:w="100"/>
              <w:left w:type="dxa" w:w="130"/>
              <w:bottom w:type="dxa" w:w="100"/>
              <w:right w:type="dxa" w:w="110"/>
            </w:tcMar>
          </w:tcPr>
          <w:p>
            <w:pPr>
              <w:spacing w:after="0" w:before="0" w:line="276"/>
            </w:pPr>
            <w:r>
              <w:rPr>
                <w:rFonts w:ascii="Calibri" w:cs="Calibri" w:eastAsia="Calibri" w:hAnsi="Calibri"/>
                <w:b/>
                <w:bCs/>
                <w:color w:val="0D274D"/>
                <w:sz w:val="20"/>
                <w:szCs w:val="20"/>
              </w:rPr>
              <w:t xml:space="preserve">Overall total</w:t>
            </w:r>
          </w:p>
        </w:tc>
        <w:tc>
          <w:tcPr>
            <w:tcW w:type="dxa" w:w="190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10"/>
            </w:tcMar>
          </w:tcPr>
          <w:p>
            <w:pPr>
              <w:spacing w:after="0" w:before="0" w:line="276"/>
              <w:jc w:val="center"/>
            </w:pPr>
            <w:r>
              <w:rPr>
                <w:rFonts w:ascii="Calibri" w:cs="Calibri" w:eastAsia="Calibri" w:hAnsi="Calibri"/>
                <w:color w:val="9AA8BC"/>
                <w:sz w:val="20"/>
                <w:szCs w:val="20"/>
              </w:rPr>
              <w:t xml:space="preserve">________</w:t>
            </w:r>
            <w:r>
              <w:rPr>
                <w:rFonts w:ascii="Calibri" w:cs="Calibri" w:eastAsia="Calibri" w:hAnsi="Calibri"/>
                <w:b/>
                <w:bCs/>
                <w:color w:val="0D274D"/>
                <w:sz w:val="19"/>
                <w:szCs w:val="19"/>
              </w:rPr>
              <w:t xml:space="preserve"> / 400</w:t>
            </w:r>
          </w:p>
        </w:tc>
        <w:tc>
          <w:tcPr>
            <w:tcW w:type="dxa" w:w="496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30"/>
            </w:tcMar>
          </w:tcPr>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p>
      <w:pPr>
        <w:spacing w:after="120" w:before="0" w:line="276"/>
      </w:pPr>
      <w:r>
        <w:rPr>
          <w:rFonts w:ascii="Calibri" w:cs="Calibri" w:eastAsia="Calibri" w:hAnsi="Calibri"/>
          <w:b/>
          <w:bCs/>
          <w:color w:val="0D274D"/>
          <w:sz w:val="21"/>
          <w:szCs w:val="21"/>
        </w:rPr>
        <w:t xml:space="preserve">Overall grade  </w:t>
      </w:r>
      <w:r>
        <w:rPr>
          <w:rFonts w:ascii="Calibri" w:cs="Calibri" w:eastAsia="Calibri" w:hAnsi="Calibri"/>
          <w:color w:val="8091A4"/>
          <w:sz w:val="21"/>
          <w:szCs w:val="21"/>
        </w:rPr>
        <w:t xml:space="preserve">____________     </w:t>
      </w:r>
      <w:r>
        <w:rPr>
          <w:rFonts w:ascii="Calibri" w:cs="Calibri" w:eastAsia="Calibri" w:hAnsi="Calibri"/>
          <w:color w:val="7E8CA1"/>
          <w:sz w:val="16"/>
          <w:szCs w:val="16"/>
        </w:rPr>
        <w:t xml:space="preserve">(Solution Strategist 300 to 400;  Solution Builder 200 to 299;  Solution Explorer up to 199)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color w:val="14263A"/>
                <w:sz w:val="20"/>
                <w:szCs w:val="20"/>
              </w:rPr>
              <w:t xml:space="preserve">☐</w:t>
            </w:r>
            <w:r>
              <w:rPr>
                <w:rFonts w:ascii="Calibri" w:cs="Calibri" w:eastAsia="Calibri" w:hAnsi="Calibri"/>
                <w:color w:val="33465F"/>
                <w:sz w:val="19"/>
                <w:szCs w:val="19"/>
              </w:rPr>
              <w:t xml:space="preserve">   No </w:t>
            </w:r>
            <w:r>
              <w:rPr>
                <w:rFonts w:ascii="Calibri" w:cs="Calibri" w:eastAsia="Calibri" w:hAnsi="Calibri"/>
                <w:color w:val="14263A"/>
                <w:sz w:val="20"/>
                <w:szCs w:val="20"/>
              </w:rPr>
              <w:t xml:space="preserve">☐</w:t>
            </w:r>
          </w:p>
          <w:p>
            <w:pPr>
              <w:spacing w:after="0" w:before="0" w:line="276"/>
            </w:pPr>
            <w:r>
              <w:rPr>
                <w:rFonts w:ascii="Calibri" w:cs="Calibri" w:eastAsia="Calibri" w:hAnsi="Calibri"/>
                <w:color w:val="14263A"/>
                <w:sz w:val="2"/>
                <w:szCs w:val="2"/>
              </w:rPr>
              <w:t xml:space="preserve"/>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What the team did well</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Where they can learn and grow</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2026-08-04T02:07:31.194Z</dcterms:created>
  <dcterms:modified xsi:type="dcterms:W3CDTF">2026-08-04T02:07:31.261Z</dcterms:modified>
</cp:coreProperties>
</file>

<file path=docProps/custom.xml><?xml version="1.0" encoding="utf-8"?>
<Properties xmlns="http://schemas.openxmlformats.org/officeDocument/2006/custom-properties" xmlns:vt="http://schemas.openxmlformats.org/officeDocument/2006/docPropsVTypes"/>
</file>