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Cisco Secure · Facilitator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0D274D"/>
          <w:sz w:val="40"/>
          <w:szCs w:val="40"/>
        </w:rPr>
        <w:t xml:space="preserve">HMF Design Clinic Rubric Sheet</w:t>
      </w:r>
    </w:p>
    <w:p>
      <w:pPr>
        <w:spacing w:after="60" w:before="0" w:line="276"/>
      </w:pPr>
      <w:r>
        <w:rPr>
          <w:rFonts w:ascii="Calibri" w:cs="Calibri" w:eastAsia="Calibri" w:hAnsi="Calibri"/>
          <w:color w:val="3A4C63"/>
          <w:sz w:val="22"/>
          <w:szCs w:val="22"/>
        </w:rPr>
        <w:t xml:space="preserve">A one-page rubric to keep beside you while you evaluate a team's Workbook. Detach and use it with the Grading Guide.</w:t>
      </w:r>
    </w:p>
    <w:p>
      <w:pPr>
        <w:pBdr>
          <w:bottom w:val="single" w:color="00BCEB" w:sz="18"/>
        </w:pBd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6"/>
              <w:left w:val="single" w:color="DCE6F1" w:sz="6"/>
              <w:bottom w:val="single" w:color="DCE6F1" w:sz="6"/>
              <w:right w:val="single" w:color="DCE6F1" w:sz="6"/>
            </w:tcBorders>
            <w:shd w:fill="F3F7FB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0"/>
                <w:szCs w:val="20"/>
              </w:rPr>
              <w:t xml:space="preserve">How the score is built.  </w:t>
            </w:r>
            <w:r>
              <w:rPr>
                <w:rFonts w:ascii="Calibri" w:cs="Calibri" w:eastAsia="Calibri" w:hAnsi="Calibri"/>
                <w:color w:val="33465F"/>
                <w:sz w:val="20"/>
                <w:szCs w:val="20"/>
              </w:rPr>
              <w:t xml:space="preserve">Grade every pain point on the three dimensions: Problem Identifier out of 5, Solution Designer out of 10, and Value Communicator out of 10, for 25 per pain point. Four pain points make a case study score out of 100, and the four case studies make an overall score out of 400.</w:t>
            </w:r>
          </w:p>
        </w:tc>
      </w:tr>
    </w:tbl>
    <w:p>
      <w:pPr>
        <w:spacing w:after="80" w:before="180" w:line="276"/>
      </w:pPr>
      <w:r>
        <w:rPr>
          <w:rFonts w:ascii="Calibri" w:cs="Calibri" w:eastAsia="Calibri" w:hAnsi="Calibri"/>
          <w:b/>
          <w:bCs/>
          <w:color w:val="0D274D"/>
          <w:sz w:val="30"/>
          <w:szCs w:val="30"/>
        </w:rPr>
        <w:t xml:space="preserve">The rubric, by dimension</w:t>
      </w:r>
    </w:p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4A3AA8"/>
          <w:sz w:val="23"/>
          <w:szCs w:val="23"/>
        </w:rPr>
        <w:t xml:space="preserve">Problem Identifier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5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identify the real requirement behind the concern?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Pinpoints the underlying requirement or constraint behind the concern, the specific regulation, risk, or operational need, in Cedarline's own context, not just the surface ask.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3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Identifies the concern and part of the underlying requirement, but misses some nuance or a constraint.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1 to 2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Restates the concern in general terms without naming the requirement behind it.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Misreads the concern, addresses the wrong problem, or leaves it blank.</w:t>
            </w:r>
          </w:p>
        </w:tc>
      </w:tr>
    </w:tbl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0B6670"/>
          <w:sz w:val="23"/>
          <w:szCs w:val="23"/>
        </w:rPr>
        <w:t xml:space="preserve">Solution Designer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10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recommend the right Cisco solution and an approach that fits?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 to 10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Names the right Cisco product or platform and the specific capability, with an architecture or approach that fits Cedarline and the wider Hybrid Mesh Firewall design.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 to 7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Names the right product but is light on the capability, the architecture, or how it fits Cedarline.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Partly right: a loosely related product, or a product named with no approach or capability.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1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Wrong product, a generic firewall with no specifics, or left blank.</w:t>
            </w:r>
          </w:p>
        </w:tc>
      </w:tr>
    </w:tbl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9A6516"/>
          <w:sz w:val="23"/>
          <w:szCs w:val="23"/>
        </w:rPr>
        <w:t xml:space="preserve">Value Communicator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10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explain how it works and the outcome for Cedarline?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 to 10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Explains clearly how the solution works and states the concrete Cedarline outcome, in language the customer would understand.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 to 7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Explains how it works but is thin on the outcome, or states an outcome without explaining how.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Vague or generic: asserts it helps without explaining how or naming a specific outcome.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1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No explanation and no outcome, or left blank.</w:t>
            </w:r>
          </w:p>
        </w:tc>
      </w:tr>
    </w:tbl>
    <w:p>
      <w:pPr>
        <w:pageBreakBefore/>
        <w:spacing w:after="0" w:before="0" w:line="276"/>
      </w:pPr>
    </w:p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Rubric sheet</w:t>
      </w:r>
    </w:p>
    <w:p>
      <w:pPr>
        <w:pBdr>
          <w:bottom w:val="single" w:color="00BCEB" w:sz="18"/>
        </w:pBd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80" w:before="180" w:line="276"/>
      </w:pPr>
      <w:r>
        <w:rPr>
          <w:rFonts w:ascii="Calibri" w:cs="Calibri" w:eastAsia="Calibri" w:hAnsi="Calibri"/>
          <w:b/>
          <w:bCs/>
          <w:color w:val="0D274D"/>
          <w:sz w:val="30"/>
          <w:szCs w:val="30"/>
        </w:rPr>
        <w:t xml:space="preserve">From score to grade</w:t>
      </w:r>
    </w:p>
    <w:p>
      <w:pPr>
        <w:spacing w:after="80" w:before="0" w:line="276"/>
      </w:pPr>
      <w:r>
        <w:rPr>
          <w:rFonts w:ascii="Calibri" w:cs="Calibri" w:eastAsia="Calibri" w:hAnsi="Calibri"/>
          <w:color w:val="3A4C63"/>
          <w:sz w:val="21"/>
          <w:szCs w:val="21"/>
        </w:rPr>
        <w:t xml:space="preserve">Use these bands to sense-check the totals, then share the overall grade with the team as one of the three positive categories.</w:t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Pain point, out of 25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25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22 to 25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All three dimensions strong: the requirement, the right solution and approach, and a clear how and outcome.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16 to 21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Mostly there, with one dimension light or a gap in the approach or the outcome.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9 to 15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Partial across the dimensions: the idea is present but thin, generic, or missing the requirement or the solution.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8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Little relevant content, or the main dimensions left blank.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Case study, out of 100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100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Exemplary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85 to 100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Consistently complete answers across the four pain points, specific to Cedarline.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Proficient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65 to 84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Solid answers, with some gaps or generic reasoning in places.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40 to 64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Partial: the direction is right, but several answers are thin or incomplete.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Emerging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under 40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Mostly incomplete or off-target answers.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Overall grade, out of 400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400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Best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300 to 400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Standout work. Across the four case studies the team read the requirements precisely, designed fitting Hybrid Mesh Firewall solutions, and told a clear Cedarline value story.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Better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200 to 299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Strong, consistent work. The team matched the right solutions across most pain points and communicated real value, with a few answers to sharpen.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Good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up to 199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A solid foundation to build on. The team engaged every case study and found real products; the next step is naming the requirement and the outcome more precisely.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rFonts w:ascii="Calibri" w:cs="Calibri" w:eastAsia="Calibri" w:hAnsi="Calibri"/>
        <w:color w:val="8091A4"/>
        <w:sz w:val="15"/>
        <w:szCs w:val="15"/>
      </w:rPr>
      <w:t xml:space="preserve">HMF Design Clinic  ·  Page </w:t>
    </w:r>
    <w:r>
      <w:rPr>
        <w:rFonts w:ascii="Calibri" w:cs="Calibri" w:eastAsia="Calibri" w:hAnsi="Calibri"/>
        <w:color w:val="8091A4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91A4"/>
        <w:sz w:val="15"/>
        <w:szCs w:val="15"/>
      </w:rPr>
      <w:t xml:space="preserve"> of </w:t>
    </w:r>
    <w:r>
      <w:rPr>
        <w:rFonts w:ascii="Calibri" w:cs="Calibri" w:eastAsia="Calibri" w:hAnsi="Calibri"/>
        <w:color w:val="8091A4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2026-08-03T22:42:29.023Z</dcterms:created>
  <dcterms:modified xsi:type="dcterms:W3CDTF">2026-08-03T22:42:29.023Z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