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aps/>
          <w:color w:val="036C8F"/>
          <w:sz w:val="16"/>
          <w:szCs w:val="16"/>
        </w:rPr>
        <w:t xml:space="preserve">Cisco Secure</w:t>
      </w:r>
    </w:p>
    <w:p>
      <w:pPr>
        <w:spacing w:after="60" w:before="0" w:line="276"/>
      </w:pPr>
      <w:r>
        <w:rPr>
          <w:rFonts w:ascii="Calibri" w:cs="Calibri" w:eastAsia="Calibri" w:hAnsi="Calibri"/>
          <w:b/>
          <w:bCs/>
          <w:color w:val="0D274D"/>
          <w:sz w:val="40"/>
          <w:szCs w:val="40"/>
        </w:rPr>
        <w:t xml:space="preserve">HMF Design Clinic Workbook</w:t>
      </w:r>
    </w:p>
    <w:p>
      <w:pPr>
        <w:spacing w:after="140" w:before="0" w:line="276"/>
      </w:pPr>
      <w:r>
        <w:rPr>
          <w:rFonts w:ascii="Calibri" w:cs="Calibri" w:eastAsia="Calibri" w:hAnsi="Calibri"/>
          <w:color w:val="3A4C63"/>
          <w:sz w:val="24"/>
          <w:szCs w:val="24"/>
        </w:rPr>
        <w:t xml:space="preserve">Cedarline Health Group, a Hybrid Mesh Firewall design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6F2" w:sz="6"/>
              <w:left w:val="single" w:color="BEE6F2" w:sz="34"/>
              <w:bottom w:val="single" w:color="BEE6F2" w:sz="6"/>
              <w:right w:val="single" w:color="BEE6F2" w:sz="6"/>
            </w:tcBorders>
            <w:shd w:fill="EAF7FB" w:color="auto" w:val="clear"/>
            <w:tcMar>
              <w:top w:type="dxa" w:w="110"/>
              <w:left w:type="dxa" w:w="160"/>
              <w:bottom w:type="dxa" w:w="110"/>
              <w:right w:type="dxa" w:w="160"/>
            </w:tcMar>
            <w:vAlign w:val="top"/>
          </w:tcPr>
          <w:p>
            <w:pPr>
              <w:spacing w:after="0" w:before="0" w:line="276"/>
            </w:pPr>
            <w:r>
              <w:rPr>
                <w:rFonts w:ascii="Calibri" w:cs="Calibri" w:eastAsia="Calibri" w:hAnsi="Calibri"/>
                <w:color w:val="22415C"/>
                <w:sz w:val="21"/>
                <w:szCs w:val="21"/>
              </w:rPr>
              <w:t xml:space="preserve">Today your team is the Cisco Solution Engineering team walking into Cedarline. You will sit with four real conversations, hear what is keeping them up at night, and answer as Solution Engineers do, with the right solution, why it fits, and the outcome it delivers, all brought together into one Hybrid Mesh Firewall design.</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scenario.  </w:t>
            </w:r>
            <w:r>
              <w:rPr>
                <w:rFonts w:ascii="Calibri" w:cs="Calibri" w:eastAsia="Calibri" w:hAnsi="Calibri"/>
                <w:color w:val="33465F"/>
                <w:sz w:val="20"/>
                <w:szCs w:val="20"/>
              </w:rPr>
              <w:t xml:space="preserve">Cedarline Health Group is a regional healthcare payer-provider with roughly 8,000 employees across four hospitals and thirty-one clinics, plus a claims-processing business that handles the money. Growth by acquisition (including a second data centre absorbed as-is) and a mid-flight, disorderly move to public cloud have left a fragmented security posture. After a security incident in March, the board asked what would have stopped it, and leadership still cannot answer. Budget and executive attention are approved but explicitly temporary, and the security team is small.</w:t>
            </w:r>
          </w:p>
        </w:tc>
      </w:tr>
    </w:tbl>
    <w:p>
      <w:pPr>
        <w:spacing w:after="120"/>
      </w:pPr>
      <w:r>
        <w:rPr>
          <w:rFonts w:ascii="Calibri" w:cs="Calibri" w:eastAsia="Calibri" w:hAnsi="Calibri"/>
          <w:color w:val="14263A"/>
          <w:sz w:val="2"/>
          <w:szCs w:val="2"/>
        </w:rPr>
        <w:t xml:space="preserve"/>
      </w:r>
    </w:p>
    <w:p>
      <w:pPr>
        <w:spacing w:after="0" w:before="0" w:line="276"/>
      </w:pPr>
      <w:r>
        <w:rPr>
          <w:rFonts w:ascii="Calibri" w:cs="Calibri" w:eastAsia="Calibri" w:hAnsi="Calibri"/>
          <w:b/>
          <w:bCs/>
          <w:color w:val="0D274D"/>
          <w:sz w:val="21"/>
          <w:szCs w:val="21"/>
        </w:rPr>
        <w:t xml:space="preserve">Team </w:t>
      </w:r>
      <w:r>
        <w:rPr>
          <w:rFonts w:ascii="Calibri" w:cs="Calibri" w:eastAsia="Calibri" w:hAnsi="Calibri"/>
          <w:color w:val="8091A4"/>
          <w:sz w:val="21"/>
          <w:szCs w:val="21"/>
        </w:rPr>
        <w:t xml:space="preserve">____________________     </w:t>
      </w:r>
      <w:r>
        <w:rPr>
          <w:rFonts w:ascii="Calibri" w:cs="Calibri" w:eastAsia="Calibri" w:hAnsi="Calibri"/>
          <w:b/>
          <w:bCs/>
          <w:color w:val="0D274D"/>
          <w:sz w:val="21"/>
          <w:szCs w:val="21"/>
        </w:rPr>
        <w:t xml:space="preserve">Members (up to 8) </w:t>
      </w:r>
      <w:r>
        <w:rPr>
          <w:rFonts w:ascii="Calibri" w:cs="Calibri" w:eastAsia="Calibri" w:hAnsi="Calibri"/>
          <w:color w:val="8091A4"/>
          <w:sz w:val="21"/>
          <w:szCs w:val="21"/>
        </w:rPr>
        <w:t xml:space="preserve">____________________     </w:t>
      </w:r>
      <w:r>
        <w:rPr>
          <w:rFonts w:ascii="Calibri" w:cs="Calibri" w:eastAsia="Calibri" w:hAnsi="Calibri"/>
          <w:b/>
          <w:bCs/>
          <w:color w:val="0D274D"/>
          <w:sz w:val="21"/>
          <w:szCs w:val="21"/>
        </w:rPr>
        <w:t xml:space="preserve">Date </w:t>
      </w:r>
      <w:r>
        <w:rPr>
          <w:rFonts w:ascii="Calibri" w:cs="Calibri" w:eastAsia="Calibri" w:hAnsi="Calibri"/>
          <w:color w:val="8091A4"/>
          <w:sz w:val="21"/>
          <w:szCs w:val="21"/>
        </w:rPr>
        <w:t xml:space="preserve">__________</w:t>
      </w:r>
    </w:p>
    <w:p>
      <w:pPr>
        <w:pageBreakBefore/>
        <w:spacing w:after="0" w:before="0" w:line="276"/>
      </w:pPr>
    </w:p>
    <w:p>
      <w:pPr>
        <w:spacing w:after="40" w:before="0" w:line="276"/>
      </w:pPr>
      <w:r>
        <w:rPr>
          <w:rFonts w:ascii="Calibri" w:cs="Calibri" w:eastAsia="Calibri" w:hAnsi="Calibri"/>
          <w:b/>
          <w:bCs/>
          <w:caps/>
          <w:color w:val="036C8F"/>
          <w:sz w:val="16"/>
          <w:szCs w:val="16"/>
        </w:rPr>
        <w:t xml:space="preserve">Start here</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What you will walk away able to do</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640"/>
        <w:gridCol w:w="8720"/>
      </w:tblGrid>
      <w:tr>
        <w:tc>
          <w:tcPr>
            <w:tcW w:type="dxa" w:w="640"/>
            <w:tcBorders>
              <w:top w:val="none" w:color="FFFFFF" w:sz="0"/>
              <w:left w:val="none" w:color="FFFFFF" w:sz="0"/>
              <w:bottom w:val="none" w:color="FFFFFF" w:sz="0"/>
              <w:right w:val="none" w:color="FFFFFF" w:sz="0"/>
            </w:tcBorders>
            <w:shd w:fill="0D274D"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FFFFFF"/>
                <w:sz w:val="19"/>
                <w:szCs w:val="19"/>
              </w:rPr>
              <w:t xml:space="preserve">1</w:t>
            </w:r>
          </w:p>
        </w:tc>
        <w:tc>
          <w:tcPr>
            <w:tcW w:type="dxa" w:w="8720"/>
            <w:tcBorders>
              <w:top w:val="none" w:color="FFFFFF" w:sz="0"/>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Map Cedarline's stated concerns to the right Cisco Secure solutions.</w:t>
            </w:r>
          </w:p>
        </w:tc>
      </w:tr>
      <w:tr>
        <w:tc>
          <w:tcPr>
            <w:tcW w:type="dxa" w:w="640"/>
            <w:tcBorders>
              <w:top w:val="single" w:color="E4EBF3" w:sz="4"/>
              <w:left w:val="none" w:color="FFFFFF" w:sz="0"/>
              <w:bottom w:val="none" w:color="FFFFFF" w:sz="0"/>
              <w:right w:val="none" w:color="FFFFFF" w:sz="0"/>
            </w:tcBorders>
            <w:shd w:fill="0D274D"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FFFFFF"/>
                <w:sz w:val="19"/>
                <w:szCs w:val="19"/>
              </w:rPr>
              <w:t xml:space="preserve">2</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Explain, in the customer's language, how each solution addresses the concern.</w:t>
            </w:r>
          </w:p>
        </w:tc>
      </w:tr>
      <w:tr>
        <w:tc>
          <w:tcPr>
            <w:tcW w:type="dxa" w:w="640"/>
            <w:tcBorders>
              <w:top w:val="single" w:color="E4EBF3" w:sz="4"/>
              <w:left w:val="none" w:color="FFFFFF" w:sz="0"/>
              <w:bottom w:val="none" w:color="FFFFFF" w:sz="0"/>
              <w:right w:val="none" w:color="FFFFFF" w:sz="0"/>
            </w:tcBorders>
            <w:shd w:fill="0D274D"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FFFFFF"/>
                <w:sz w:val="19"/>
                <w:szCs w:val="19"/>
              </w:rPr>
              <w:t xml:space="preserve">3</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Connect the four case studies into one coherent Hybrid Mesh Firewall design.</w:t>
            </w:r>
          </w:p>
        </w:tc>
      </w:tr>
      <w:tr>
        <w:tc>
          <w:tcPr>
            <w:tcW w:type="dxa" w:w="640"/>
            <w:tcBorders>
              <w:top w:val="single" w:color="E4EBF3" w:sz="4"/>
              <w:left w:val="none" w:color="FFFFFF" w:sz="0"/>
              <w:bottom w:val="none" w:color="FFFFFF" w:sz="0"/>
              <w:right w:val="none" w:color="FFFFFF" w:sz="0"/>
            </w:tcBorders>
            <w:shd w:fill="0D274D"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FFFFFF"/>
                <w:sz w:val="19"/>
                <w:szCs w:val="19"/>
              </w:rPr>
              <w:t xml:space="preserve">4</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Present the business outcome, not just the feature.</w:t>
            </w:r>
          </w:p>
        </w:tc>
      </w:tr>
    </w:tbl>
    <w:p>
      <w:pPr>
        <w:spacing w:after="80" w:before="180" w:line="276"/>
      </w:pPr>
      <w:r>
        <w:rPr>
          <w:rFonts w:ascii="Calibri" w:cs="Calibri" w:eastAsia="Calibri" w:hAnsi="Calibri"/>
          <w:b/>
          <w:bCs/>
          <w:color w:val="0D274D"/>
          <w:sz w:val="30"/>
          <w:szCs w:val="30"/>
        </w:rPr>
        <w:t xml:space="preserve">How your answers are assessed</w:t>
      </w:r>
    </w:p>
    <w:p>
      <w:pPr>
        <w:spacing w:after="100" w:before="0" w:line="276"/>
      </w:pPr>
      <w:r>
        <w:rPr>
          <w:rFonts w:ascii="Calibri" w:cs="Calibri" w:eastAsia="Calibri" w:hAnsi="Calibri"/>
          <w:color w:val="3A4C63"/>
          <w:sz w:val="21"/>
          <w:szCs w:val="21"/>
        </w:rPr>
        <w:t xml:space="preserve">Each pain point is scored across three dimensions: Problem Identifier out of 5, Solution Designer out of 10, and Value Communicator out of 10, for 25 per pain point. Four pain points make a case study score out of 100, and the four case studies make an overall score out of 400.</w:t>
      </w:r>
    </w:p>
    <w:tbl>
      <w:tblPr>
        <w:tblW w:type="dxa" w:w="9360"/>
        <w:tblBorders>
          <w:top w:val="none" w:color="FFFFFF" w:sz="0"/>
          <w:left w:val="none" w:color="FFFFFF" w:sz="0"/>
          <w:bottom w:val="none" w:color="FFFFFF" w:sz="0"/>
          <w:right w:val="none" w:color="FFFFFF" w:sz="0"/>
          <w:insideH w:val="none" w:color="FFFFFF" w:sz="0"/>
          <w:insideV w:val="single" w:color="FFFFFF" w:sz="30"/>
        </w:tblBorders>
      </w:tblPr>
      <w:tblGrid>
        <w:gridCol w:w="3120"/>
        <w:gridCol w:w="3120"/>
        <w:gridCol w:w="3120"/>
      </w:tblGrid>
      <w:tr>
        <w:tc>
          <w:tcPr>
            <w:tcW w:type="dxa" w:w="3120"/>
            <w:tcBorders>
              <w:top w:val="single" w:color="5B4BC4" w:sz="34"/>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4A3AA8"/>
                <w:sz w:val="21"/>
                <w:szCs w:val="21"/>
              </w:rPr>
              <w:t xml:space="preserve">Problem Identifier</w:t>
            </w:r>
            <w:r>
              <w:rPr>
                <w:rFonts w:ascii="Calibri" w:cs="Calibri" w:eastAsia="Calibri" w:hAnsi="Calibri"/>
                <w:b/>
                <w:bCs/>
                <w:color w:val="036C8F"/>
                <w:sz w:val="14"/>
                <w:szCs w:val="14"/>
              </w:rPr>
              <w:t xml:space="preserve">  out of 5</w:t>
            </w:r>
          </w:p>
          <w:p>
            <w:pPr>
              <w:spacing w:after="0" w:before="0" w:line="276"/>
            </w:pPr>
            <w:r>
              <w:rPr>
                <w:rFonts w:ascii="Calibri" w:cs="Calibri" w:eastAsia="Calibri" w:hAnsi="Calibri"/>
                <w:color w:val="33465F"/>
                <w:sz w:val="18"/>
                <w:szCs w:val="18"/>
              </w:rPr>
              <w:t xml:space="preserve">Correctly identified the customer's pain point and the requirements behind it.</w:t>
            </w:r>
          </w:p>
        </w:tc>
        <w:tc>
          <w:tcPr>
            <w:tcW w:type="dxa" w:w="3120"/>
            <w:tcBorders>
              <w:top w:val="single" w:color="0E7C86" w:sz="34"/>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0B6670"/>
                <w:sz w:val="21"/>
                <w:szCs w:val="21"/>
              </w:rPr>
              <w:t xml:space="preserve">Solution Designer</w:t>
            </w:r>
            <w:r>
              <w:rPr>
                <w:rFonts w:ascii="Calibri" w:cs="Calibri" w:eastAsia="Calibri" w:hAnsi="Calibri"/>
                <w:b/>
                <w:bCs/>
                <w:color w:val="036C8F"/>
                <w:sz w:val="14"/>
                <w:szCs w:val="14"/>
              </w:rPr>
              <w:t xml:space="preserve">  out of 10</w:t>
            </w:r>
          </w:p>
          <w:p>
            <w:pPr>
              <w:spacing w:after="0" w:before="0" w:line="276"/>
            </w:pPr>
            <w:r>
              <w:rPr>
                <w:rFonts w:ascii="Calibri" w:cs="Calibri" w:eastAsia="Calibri" w:hAnsi="Calibri"/>
                <w:color w:val="33465F"/>
                <w:sz w:val="18"/>
                <w:szCs w:val="18"/>
              </w:rPr>
              <w:t xml:space="preserve">Recommended the right Cisco solution, architecture, and approach.</w:t>
            </w:r>
          </w:p>
        </w:tc>
        <w:tc>
          <w:tcPr>
            <w:tcW w:type="dxa" w:w="3120"/>
            <w:tcBorders>
              <w:top w:val="single" w:color="B7791F" w:sz="34"/>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9A6516"/>
                <w:sz w:val="21"/>
                <w:szCs w:val="21"/>
              </w:rPr>
              <w:t xml:space="preserve">Value Communicator</w:t>
            </w:r>
            <w:r>
              <w:rPr>
                <w:rFonts w:ascii="Calibri" w:cs="Calibri" w:eastAsia="Calibri" w:hAnsi="Calibri"/>
                <w:b/>
                <w:bCs/>
                <w:color w:val="036C8F"/>
                <w:sz w:val="14"/>
                <w:szCs w:val="14"/>
              </w:rPr>
              <w:t xml:space="preserve">  out of 10</w:t>
            </w:r>
          </w:p>
          <w:p>
            <w:pPr>
              <w:spacing w:after="0" w:before="0" w:line="276"/>
            </w:pPr>
            <w:r>
              <w:rPr>
                <w:rFonts w:ascii="Calibri" w:cs="Calibri" w:eastAsia="Calibri" w:hAnsi="Calibri"/>
                <w:color w:val="33465F"/>
                <w:sz w:val="18"/>
                <w:szCs w:val="18"/>
              </w:rPr>
              <w:t xml:space="preserve">Clearly explained how the solution works and the customer outcomes it enables.</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two-part answer.  </w:t>
            </w:r>
            <w:r>
              <w:rPr>
                <w:rFonts w:ascii="Calibri" w:cs="Calibri" w:eastAsia="Calibri" w:hAnsi="Calibri"/>
                <w:color w:val="33465F"/>
                <w:sz w:val="20"/>
                <w:szCs w:val="20"/>
              </w:rPr>
              <w:t xml:space="preserve">For every customer concern you will write a Product / platform and a Solution Engineer response that covers how it addresses the concern and the outcome it delivers. Identify the problem, design the right solution, and communicate the value.</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EC9" w:sz="6"/>
              <w:left w:val="single" w:color="A9DEC9" w:sz="6"/>
              <w:bottom w:val="single" w:color="A9DEC9" w:sz="6"/>
              <w:right w:val="single" w:color="A9DEC9" w:sz="6"/>
            </w:tcBorders>
            <w:shd w:fill="EAF7F0" w:color="auto" w:val="clear"/>
            <w:tcMar>
              <w:top w:type="dxa" w:w="110"/>
              <w:left w:type="dxa" w:w="160"/>
              <w:bottom w:type="dxa" w:w="110"/>
              <w:right w:type="dxa" w:w="160"/>
            </w:tcMar>
            <w:vAlign w:val="top"/>
          </w:tcPr>
          <w:p>
            <w:pPr>
              <w:spacing w:after="40" w:before="0" w:line="276"/>
            </w:pPr>
            <w:r>
              <w:rPr>
                <w:rFonts w:ascii="Calibri" w:cs="Calibri" w:eastAsia="Calibri" w:hAnsi="Calibri"/>
                <w:b/>
                <w:bCs/>
                <w:color w:val="155C43"/>
                <w:sz w:val="21"/>
                <w:szCs w:val="21"/>
              </w:rPr>
              <w:t xml:space="preserve">Quick start</w:t>
            </w:r>
          </w:p>
          <w:p>
            <w:pPr>
              <w:spacing w:after="0" w:before="0" w:line="276"/>
            </w:pPr>
            <w:r>
              <w:rPr>
                <w:rFonts w:ascii="Calibri" w:cs="Calibri" w:eastAsia="Calibri" w:hAnsi="Calibri"/>
                <w:color w:val="26543F"/>
                <w:sz w:val="20"/>
                <w:szCs w:val="20"/>
              </w:rPr>
              <w:t xml:space="preserve">In your pair, take one case study. For each pain point: pick a product from the cheat-strip, write how it helps, and state the outcome. About five minutes per pain point.</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E6F3" w:sz="6"/>
              <w:left w:val="single" w:color="B7E6F3" w:sz="6"/>
              <w:bottom w:val="single" w:color="B7E6F3" w:sz="6"/>
              <w:right w:val="single" w:color="B7E6F3" w:sz="6"/>
            </w:tcBorders>
            <w:shd w:fill="F2FBFE" w:color="auto" w:val="clear"/>
            <w:tcMar>
              <w:top w:type="dxa" w:w="110"/>
              <w:left w:type="dxa" w:w="160"/>
              <w:bottom w:type="dxa" w:w="110"/>
              <w:right w:type="dxa" w:w="160"/>
            </w:tcMar>
            <w:vAlign w:val="top"/>
          </w:tcPr>
          <w:p>
            <w:pPr>
              <w:spacing w:after="60" w:before="0" w:line="276"/>
            </w:pPr>
            <w:r>
              <w:rPr>
                <w:rFonts w:ascii="Calibri" w:cs="Calibri" w:eastAsia="Calibri" w:hAnsi="Calibri"/>
                <w:b/>
                <w:bCs/>
                <w:color w:val="0D274D"/>
                <w:sz w:val="21"/>
                <w:szCs w:val="21"/>
              </w:rPr>
              <w:t xml:space="preserve">Before you submit, self-check</w:t>
            </w:r>
          </w:p>
          <w:p>
            <w:pPr>
              <w:spacing w:after="40" w:before="0" w:line="276"/>
            </w:pPr>
            <w:r>
              <w:rPr>
                <w:rFonts w:ascii="Calibri" w:cs="Calibri" w:eastAsia="Calibri" w:hAnsi="Calibri"/>
                <w:color w:val="036C8F"/>
                <w:sz w:val="20"/>
                <w:szCs w:val="20"/>
              </w:rPr>
              <w:t xml:space="preserve">•  </w:t>
            </w:r>
            <w:r>
              <w:rPr>
                <w:rFonts w:ascii="Calibri" w:cs="Calibri" w:eastAsia="Calibri" w:hAnsi="Calibri"/>
                <w:color w:val="2A3C52"/>
                <w:sz w:val="20"/>
                <w:szCs w:val="20"/>
              </w:rPr>
              <w:t xml:space="preserve">Problem: did we name the real requirement behind the concern, not just the surface ask?</w:t>
            </w:r>
          </w:p>
          <w:p>
            <w:pPr>
              <w:spacing w:after="40" w:before="0" w:line="276"/>
            </w:pPr>
            <w:r>
              <w:rPr>
                <w:rFonts w:ascii="Calibri" w:cs="Calibri" w:eastAsia="Calibri" w:hAnsi="Calibri"/>
                <w:color w:val="036C8F"/>
                <w:sz w:val="20"/>
                <w:szCs w:val="20"/>
              </w:rPr>
              <w:t xml:space="preserve">•  </w:t>
            </w:r>
            <w:r>
              <w:rPr>
                <w:rFonts w:ascii="Calibri" w:cs="Calibri" w:eastAsia="Calibri" w:hAnsi="Calibri"/>
                <w:color w:val="2A3C52"/>
                <w:sz w:val="20"/>
                <w:szCs w:val="20"/>
              </w:rPr>
              <w:t xml:space="preserve">Solution: did we recommend a specific Cisco product and the approach, not only a product name?</w:t>
            </w:r>
          </w:p>
          <w:p>
            <w:pPr>
              <w:spacing w:after="40" w:before="0" w:line="276"/>
            </w:pPr>
            <w:r>
              <w:rPr>
                <w:rFonts w:ascii="Calibri" w:cs="Calibri" w:eastAsia="Calibri" w:hAnsi="Calibri"/>
                <w:color w:val="036C8F"/>
                <w:sz w:val="20"/>
                <w:szCs w:val="20"/>
              </w:rPr>
              <w:t xml:space="preserve">•  </w:t>
            </w:r>
            <w:r>
              <w:rPr>
                <w:rFonts w:ascii="Calibri" w:cs="Calibri" w:eastAsia="Calibri" w:hAnsi="Calibri"/>
                <w:color w:val="2A3C52"/>
                <w:sz w:val="20"/>
                <w:szCs w:val="20"/>
              </w:rPr>
              <w:t xml:space="preserve">Value: did we explain how it works and the outcome for Cedarline?</w:t>
            </w:r>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A worked example</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What a strong answer looks like</w:t>
      </w:r>
    </w:p>
    <w:p>
      <w:pPr>
        <w:spacing w:after="120" w:before="0" w:line="276"/>
      </w:pPr>
      <w:r>
        <w:rPr>
          <w:rFonts w:ascii="Calibri" w:cs="Calibri" w:eastAsia="Calibri" w:hAnsi="Calibri"/>
          <w:color w:val="3A4C63"/>
          <w:sz w:val="21"/>
          <w:szCs w:val="21"/>
        </w:rPr>
        <w:t xml:space="preserve">This is an example only, from a different customer conversation. The four case studies you will work are different. Notice how the response identifies the problem, designs the solution, and communicates the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3" w:sz="6"/>
              <w:left w:val="single" w:color="CBD5E3" w:sz="34"/>
              <w:bottom w:val="single" w:color="CBD5E3" w:sz="6"/>
              <w:right w:val="single" w:color="CBD5E3" w:sz="6"/>
            </w:tcBorders>
            <w:shd w:fill="FCFEFF" w:color="auto" w:val="clear"/>
            <w:tcMar>
              <w:top w:type="dxa" w:w="110"/>
              <w:left w:type="dxa" w:w="160"/>
              <w:bottom w:type="dxa" w:w="110"/>
              <w:right w:type="dxa" w:w="160"/>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support team uses a public AI chatbot to draft replies, and staff sometimes paste patient details into it. We cannot see or control what leaves the organisation.</w:t>
                  </w:r>
                </w:p>
              </w:tc>
            </w:tr>
          </w:tbl>
          <w:p>
            <w:pPr>
              <w:spacing w:after="60"/>
            </w:pPr>
            <w:r>
              <w:rPr>
                <w:rFonts w:ascii="Calibri" w:cs="Calibri" w:eastAsia="Calibri" w:hAnsi="Calibri"/>
                <w:color w:val="14263A"/>
                <w:sz w:val="2"/>
                <w:szCs w:val="2"/>
              </w:rPr>
              <w:t xml:space="preserve"/>
            </w:r>
          </w:p>
          <w:p>
            <w:pPr>
              <w:spacing w:after="50" w:before="11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E8F1" w:sz="6"/>
                    <w:left w:val="single" w:color="E1E8F1" w:sz="6"/>
                    <w:bottom w:val="single" w:color="E1E8F1" w:sz="6"/>
                    <w:right w:val="single" w:color="E1E8F1" w:sz="6"/>
                  </w:tcBorders>
                  <w:tcMar>
                    <w:top w:type="dxa" w:w="110"/>
                    <w:left w:type="dxa" w:w="160"/>
                    <w:bottom w:type="dxa" w:w="110"/>
                    <w:right w:type="dxa" w:w="160"/>
                  </w:tcMar>
                  <w:vAlign w:val="top"/>
                </w:tcPr>
                <w:p>
                  <w:pPr>
                    <w:spacing w:after="0" w:before="0" w:line="276"/>
                  </w:pPr>
                  <w:r>
                    <w:rPr>
                      <w:rFonts w:ascii="Calibri" w:cs="Calibri" w:eastAsia="Calibri" w:hAnsi="Calibri"/>
                      <w:b/>
                      <w:bCs/>
                      <w:color w:val="0B6670"/>
                      <w:sz w:val="20"/>
                      <w:szCs w:val="20"/>
                    </w:rPr>
                    <w:t xml:space="preserve">Cisco AI Defense</w:t>
                  </w:r>
                </w:p>
              </w:tc>
            </w:tr>
          </w:tbl>
          <w:p>
            <w:pPr>
              <w:spacing w:after="60"/>
            </w:pPr>
            <w:r>
              <w:rPr>
                <w:rFonts w:ascii="Calibri" w:cs="Calibri" w:eastAsia="Calibri" w:hAnsi="Calibri"/>
                <w:color w:val="14263A"/>
                <w:sz w:val="2"/>
                <w:szCs w:val="2"/>
              </w:rPr>
              <w:t xml:space="preserve"/>
            </w:r>
          </w:p>
          <w:p>
            <w:pPr>
              <w:spacing w:after="50" w:before="110" w:line="276"/>
            </w:pPr>
            <w:r>
              <w:rPr>
                <w:rFonts w:ascii="Calibri" w:cs="Calibri" w:eastAsia="Calibri" w:hAnsi="Calibri"/>
                <w:b/>
                <w:bCs/>
                <w:caps/>
                <w:color w:val="036C8F"/>
                <w:sz w:val="16"/>
                <w:szCs w:val="16"/>
              </w:rPr>
              <w:t xml:space="preserve">Solution Engineer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E8F1" w:sz="6"/>
                    <w:left w:val="single" w:color="E1E8F1" w:sz="6"/>
                    <w:bottom w:val="single" w:color="E1E8F1" w:sz="6"/>
                    <w:right w:val="single" w:color="E1E8F1" w:sz="6"/>
                  </w:tcBorders>
                  <w:tcMar>
                    <w:top w:type="dxa" w:w="110"/>
                    <w:left w:type="dxa" w:w="160"/>
                    <w:bottom w:type="dxa" w:w="110"/>
                    <w:right w:type="dxa" w:w="160"/>
                  </w:tcMar>
                  <w:vAlign w:val="top"/>
                </w:tcPr>
                <w:p>
                  <w:pPr>
                    <w:spacing w:after="0" w:before="0" w:line="276"/>
                  </w:pPr>
                  <w:r>
                    <w:rPr>
                      <w:rFonts w:ascii="Calibri" w:cs="Calibri" w:eastAsia="Calibri" w:hAnsi="Calibri"/>
                      <w:b/>
                      <w:bCs/>
                      <w:color w:val="4A3AA8"/>
                      <w:sz w:val="20"/>
                      <w:szCs w:val="20"/>
                    </w:rPr>
                    <w:t xml:space="preserve">Identify. </w:t>
                  </w:r>
                  <w:r>
                    <w:rPr>
                      <w:rFonts w:ascii="Calibri" w:cs="Calibri" w:eastAsia="Calibri" w:hAnsi="Calibri"/>
                      <w:color w:val="2A3C52"/>
                      <w:sz w:val="20"/>
                      <w:szCs w:val="20"/>
                    </w:rPr>
                    <w:t xml:space="preserve">The real requirement is preventing sensitive patient data from leaving the organisation through an unsanctioned AI app, with visibility and control over how it is used. </w:t>
                  </w:r>
                  <w:r>
                    <w:rPr>
                      <w:rFonts w:ascii="Calibri" w:cs="Calibri" w:eastAsia="Calibri" w:hAnsi="Calibri"/>
                      <w:b/>
                      <w:bCs/>
                      <w:color w:val="0B6670"/>
                      <w:sz w:val="20"/>
                      <w:szCs w:val="20"/>
                    </w:rPr>
                    <w:t xml:space="preserve">Design. </w:t>
                  </w:r>
                  <w:r>
                    <w:rPr>
                      <w:rFonts w:ascii="Calibri" w:cs="Calibri" w:eastAsia="Calibri" w:hAnsi="Calibri"/>
                      <w:color w:val="2A3C52"/>
                      <w:sz w:val="20"/>
                      <w:szCs w:val="20"/>
                    </w:rPr>
                    <w:t xml:space="preserve">Cisco AI Defense discovers the AI applications in use and applies runtime guardrails to the prompt and response traffic, so risky data is caught in real time. </w:t>
                  </w:r>
                  <w:r>
                    <w:rPr>
                      <w:rFonts w:ascii="Calibri" w:cs="Calibri" w:eastAsia="Calibri" w:hAnsi="Calibri"/>
                      <w:b/>
                      <w:bCs/>
                      <w:color w:val="9A6516"/>
                      <w:sz w:val="20"/>
                      <w:szCs w:val="20"/>
                    </w:rPr>
                    <w:t xml:space="preserve">Communicate. </w:t>
                  </w:r>
                  <w:r>
                    <w:rPr>
                      <w:rFonts w:ascii="Calibri" w:cs="Calibri" w:eastAsia="Calibri" w:hAnsi="Calibri"/>
                      <w:color w:val="2A3C52"/>
                      <w:sz w:val="20"/>
                      <w:szCs w:val="20"/>
                    </w:rPr>
                    <w:t xml:space="preserve">This lets the support team keep using AI safely rather than banning it, protects patient data and compliance, and adds no friction to their day-to-day work.</w:t>
                  </w:r>
                </w:p>
              </w:tc>
            </w:tr>
          </w:tbl>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Your toolkit</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HMF product cheat-strip</w:t>
      </w:r>
    </w:p>
    <w:p>
      <w:pPr>
        <w:spacing w:after="50" w:before="0" w:line="276"/>
      </w:pPr>
      <w:r>
        <w:rPr>
          <w:rFonts w:ascii="Calibri" w:cs="Calibri" w:eastAsia="Calibri" w:hAnsi="Calibri"/>
          <w:color w:val="3A4C63"/>
          <w:sz w:val="21"/>
          <w:szCs w:val="21"/>
        </w:rPr>
        <w:t xml:space="preserve">The products, platforms and features available across the Hybrid Mesh Firewall. Use it to identify which one fits each pain point; which fits which concern is for you to decide.</w:t>
      </w:r>
    </w:p>
    <w:p>
      <w:pPr>
        <w:spacing w:after="40" w:before="0" w:line="276"/>
      </w:pPr>
      <w:r>
        <w:rPr>
          <w:rFonts w:ascii="Calibri" w:cs="Calibri" w:eastAsia="Calibri" w:hAnsi="Calibri"/>
          <w:i/>
          <w:iCs/>
          <w:color w:val="7E8CA1"/>
          <w:sz w:val="17"/>
          <w:szCs w:val="17"/>
        </w:rPr>
        <w:t xml:space="preserve">Tip: detach this page and keep it beside you while you work.</w:t>
      </w:r>
    </w:p>
    <w:p>
      <w:pPr>
        <w:spacing w:after="30" w:before="130" w:line="276"/>
      </w:pPr>
      <w:r>
        <w:rPr>
          <w:rFonts w:ascii="Calibri" w:cs="Calibri" w:eastAsia="Calibri" w:hAnsi="Calibri"/>
          <w:b/>
          <w:bCs/>
          <w:caps/>
          <w:color w:val="0D274D"/>
          <w:sz w:val="15"/>
          <w:szCs w:val="15"/>
        </w:rPr>
        <w:t xml:space="preserve">Platforms and products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557"/>
        <w:gridCol w:w="5803"/>
      </w:tblGrid>
      <w:tr>
        <w:tc>
          <w:tcPr>
            <w:tcW w:type="dxa" w:w="3557"/>
            <w:tcBorders>
              <w:top w:val="none" w:color="FFFFFF" w:sz="0"/>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Cisco AI Defense</w:t>
            </w:r>
          </w:p>
        </w:tc>
        <w:tc>
          <w:tcPr>
            <w:tcW w:type="dxa" w:w="5803"/>
            <w:tcBorders>
              <w:top w:val="none" w:color="FFFFFF" w:sz="0"/>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Secures AI applications and models across build and runtime</w:t>
            </w:r>
          </w:p>
        </w:tc>
      </w:tr>
      <w:tr>
        <w:tc>
          <w:tcPr>
            <w:tcW w:type="dxa" w:w="3557"/>
            <w:tcBorders>
              <w:top w:val="single" w:color="EDF2F8" w:sz="4"/>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Cisco Multicloud Defense</w:t>
            </w:r>
          </w:p>
        </w:tc>
        <w:tc>
          <w:tcPr>
            <w:tcW w:type="dxa" w:w="5803"/>
            <w:tcBorders>
              <w:top w:val="single" w:color="EDF2F8" w:sz="4"/>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One security policy plane across public clouds</w:t>
            </w:r>
          </w:p>
        </w:tc>
      </w:tr>
      <w:tr>
        <w:tc>
          <w:tcPr>
            <w:tcW w:type="dxa" w:w="3557"/>
            <w:tcBorders>
              <w:top w:val="single" w:color="EDF2F8" w:sz="4"/>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Cisco Secure Firewall (FTD)</w:t>
            </w:r>
          </w:p>
        </w:tc>
        <w:tc>
          <w:tcPr>
            <w:tcW w:type="dxa" w:w="5803"/>
            <w:tcBorders>
              <w:top w:val="single" w:color="EDF2F8" w:sz="4"/>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Cisco's next-generation firewall, Firewall Threat Defense</w:t>
            </w:r>
          </w:p>
        </w:tc>
      </w:tr>
      <w:tr>
        <w:tc>
          <w:tcPr>
            <w:tcW w:type="dxa" w:w="3557"/>
            <w:tcBorders>
              <w:top w:val="single" w:color="EDF2F8" w:sz="4"/>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Cisco Secure Firewall Management Center (FMC)</w:t>
            </w:r>
          </w:p>
        </w:tc>
        <w:tc>
          <w:tcPr>
            <w:tcW w:type="dxa" w:w="5803"/>
            <w:tcBorders>
              <w:top w:val="single" w:color="EDF2F8" w:sz="4"/>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The centralised manager for the Secure Firewall estate, handling…</w:t>
            </w:r>
          </w:p>
        </w:tc>
      </w:tr>
      <w:tr>
        <w:tc>
          <w:tcPr>
            <w:tcW w:type="dxa" w:w="3557"/>
            <w:tcBorders>
              <w:top w:val="single" w:color="EDF2F8" w:sz="4"/>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Cisco Security Cloud Control</w:t>
            </w:r>
          </w:p>
        </w:tc>
        <w:tc>
          <w:tcPr>
            <w:tcW w:type="dxa" w:w="5803"/>
            <w:tcBorders>
              <w:top w:val="single" w:color="EDF2F8" w:sz="4"/>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Cloud-delivered management across the firewall and security estate, for…</w:t>
            </w:r>
          </w:p>
        </w:tc>
      </w:tr>
      <w:tr>
        <w:tc>
          <w:tcPr>
            <w:tcW w:type="dxa" w:w="3557"/>
            <w:tcBorders>
              <w:top w:val="single" w:color="EDF2F8" w:sz="4"/>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Cisco Secure Workload</w:t>
            </w:r>
          </w:p>
        </w:tc>
        <w:tc>
          <w:tcPr>
            <w:tcW w:type="dxa" w:w="5803"/>
            <w:tcBorders>
              <w:top w:val="single" w:color="EDF2F8" w:sz="4"/>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Application-dependency mapping and micro-segmentation</w:t>
            </w:r>
          </w:p>
        </w:tc>
      </w:tr>
      <w:tr>
        <w:tc>
          <w:tcPr>
            <w:tcW w:type="dxa" w:w="3557"/>
            <w:tcBorders>
              <w:top w:val="single" w:color="EDF2F8" w:sz="4"/>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Cisco Identity Services Engine (ISE)</w:t>
            </w:r>
          </w:p>
        </w:tc>
        <w:tc>
          <w:tcPr>
            <w:tcW w:type="dxa" w:w="5803"/>
            <w:tcBorders>
              <w:top w:val="single" w:color="EDF2F8" w:sz="4"/>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Network identity and access control</w:t>
            </w:r>
          </w:p>
        </w:tc>
      </w:tr>
      <w:tr>
        <w:tc>
          <w:tcPr>
            <w:tcW w:type="dxa" w:w="3557"/>
            <w:tcBorders>
              <w:top w:val="single" w:color="EDF2F8" w:sz="4"/>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Cisco Hypershield</w:t>
            </w:r>
          </w:p>
        </w:tc>
        <w:tc>
          <w:tcPr>
            <w:tcW w:type="dxa" w:w="5803"/>
            <w:tcBorders>
              <w:top w:val="single" w:color="EDF2F8" w:sz="4"/>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AI-native, highly distributed security enforcement</w:t>
            </w:r>
          </w:p>
        </w:tc>
      </w:tr>
      <w:tr>
        <w:tc>
          <w:tcPr>
            <w:tcW w:type="dxa" w:w="3557"/>
            <w:tcBorders>
              <w:top w:val="single" w:color="EDF2F8" w:sz="4"/>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Isovalent Cilium</w:t>
            </w:r>
          </w:p>
        </w:tc>
        <w:tc>
          <w:tcPr>
            <w:tcW w:type="dxa" w:w="5803"/>
            <w:tcBorders>
              <w:top w:val="single" w:color="EDF2F8" w:sz="4"/>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eBPF-based Kubernetes networking and policy, giving consistent…</w:t>
            </w:r>
          </w:p>
        </w:tc>
      </w:tr>
      <w:tr>
        <w:tc>
          <w:tcPr>
            <w:tcW w:type="dxa" w:w="3557"/>
            <w:tcBorders>
              <w:top w:val="single" w:color="EDF2F8" w:sz="4"/>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Isovalent Tetragon</w:t>
            </w:r>
          </w:p>
        </w:tc>
        <w:tc>
          <w:tcPr>
            <w:tcW w:type="dxa" w:w="5803"/>
            <w:tcBorders>
              <w:top w:val="single" w:color="EDF2F8" w:sz="4"/>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eBPF-based runtime security for workloads, detecting suspicious system…</w:t>
            </w:r>
          </w:p>
        </w:tc>
      </w:tr>
    </w:tbl>
    <w:p>
      <w:pPr>
        <w:spacing w:after="30" w:before="130" w:line="276"/>
      </w:pPr>
      <w:r>
        <w:rPr>
          <w:rFonts w:ascii="Calibri" w:cs="Calibri" w:eastAsia="Calibri" w:hAnsi="Calibri"/>
          <w:b/>
          <w:bCs/>
          <w:caps/>
          <w:color w:val="0D274D"/>
          <w:sz w:val="15"/>
          <w:szCs w:val="15"/>
        </w:rPr>
        <w:t xml:space="preserve">Key capabilities and features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557"/>
        <w:gridCol w:w="5803"/>
      </w:tblGrid>
      <w:tr>
        <w:tc>
          <w:tcPr>
            <w:tcW w:type="dxa" w:w="3557"/>
            <w:tcBorders>
              <w:top w:val="none" w:color="FFFFFF" w:sz="0"/>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Encrypted Visibility Engine (EVE)</w:t>
            </w:r>
          </w:p>
        </w:tc>
        <w:tc>
          <w:tcPr>
            <w:tcW w:type="dxa" w:w="5803"/>
            <w:tcBorders>
              <w:top w:val="none" w:color="FFFFFF" w:sz="0"/>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A Secure Firewall capability that infers threats from encrypted traffic…</w:t>
            </w:r>
          </w:p>
        </w:tc>
      </w:tr>
      <w:tr>
        <w:tc>
          <w:tcPr>
            <w:tcW w:type="dxa" w:w="3557"/>
            <w:tcBorders>
              <w:top w:val="single" w:color="EDF2F8" w:sz="4"/>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Snort ML</w:t>
            </w:r>
          </w:p>
        </w:tc>
        <w:tc>
          <w:tcPr>
            <w:tcW w:type="dxa" w:w="5803"/>
            <w:tcBorders>
              <w:top w:val="single" w:color="EDF2F8" w:sz="4"/>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A Secure Firewall capability that adds machine-learning detection…</w:t>
            </w:r>
          </w:p>
        </w:tc>
      </w:tr>
      <w:tr>
        <w:tc>
          <w:tcPr>
            <w:tcW w:type="dxa" w:w="3557"/>
            <w:tcBorders>
              <w:top w:val="single" w:color="EDF2F8" w:sz="4"/>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pxGrid</w:t>
            </w:r>
          </w:p>
        </w:tc>
        <w:tc>
          <w:tcPr>
            <w:tcW w:type="dxa" w:w="5803"/>
            <w:tcBorders>
              <w:top w:val="single" w:color="EDF2F8" w:sz="4"/>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An ISE capability: a context-sharing fabric so security tools can act…</w:t>
            </w:r>
          </w:p>
        </w:tc>
      </w:tr>
      <w:tr>
        <w:tc>
          <w:tcPr>
            <w:tcW w:type="dxa" w:w="3557"/>
            <w:tcBorders>
              <w:top w:val="single" w:color="EDF2F8" w:sz="4"/>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Adaptive Network Control (ANC)</w:t>
            </w:r>
          </w:p>
        </w:tc>
        <w:tc>
          <w:tcPr>
            <w:tcW w:type="dxa" w:w="5803"/>
            <w:tcBorders>
              <w:top w:val="single" w:color="EDF2F8" w:sz="4"/>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An ISE capability that quarantines or restricts a device in real time…</w:t>
            </w:r>
          </w:p>
        </w:tc>
      </w:tr>
      <w:tr>
        <w:tc>
          <w:tcPr>
            <w:tcW w:type="dxa" w:w="3557"/>
            <w:tcBorders>
              <w:top w:val="single" w:color="EDF2F8" w:sz="4"/>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Security Group Tags (SGT)</w:t>
            </w:r>
          </w:p>
        </w:tc>
        <w:tc>
          <w:tcPr>
            <w:tcW w:type="dxa" w:w="5803"/>
            <w:tcBorders>
              <w:top w:val="single" w:color="EDF2F8" w:sz="4"/>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Group-based policy tags (Cisco TrustSec) that enable scalable,…</w:t>
            </w:r>
          </w:p>
        </w:tc>
      </w:tr>
    </w:tbl>
    <w:p>
      <w:pPr>
        <w:spacing w:after="30" w:before="130" w:line="276"/>
      </w:pPr>
      <w:r>
        <w:rPr>
          <w:rFonts w:ascii="Calibri" w:cs="Calibri" w:eastAsia="Calibri" w:hAnsi="Calibri"/>
          <w:b/>
          <w:bCs/>
          <w:caps/>
          <w:color w:val="0D274D"/>
          <w:sz w:val="15"/>
          <w:szCs w:val="15"/>
        </w:rPr>
        <w:t xml:space="preserve">Architecture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557"/>
        <w:gridCol w:w="5803"/>
      </w:tblGrid>
      <w:tr>
        <w:tc>
          <w:tcPr>
            <w:tcW w:type="dxa" w:w="3557"/>
            <w:tcBorders>
              <w:top w:val="none" w:color="FFFFFF" w:sz="0"/>
              <w:left w:val="none" w:color="FFFFFF" w:sz="0"/>
              <w:bottom w:val="none" w:color="FFFFFF" w:sz="0"/>
              <w:right w:val="none" w:color="FFFFFF" w:sz="0"/>
            </w:tcBorders>
            <w:tcMar>
              <w:top w:type="dxa" w:w="50"/>
              <w:left w:type="dxa" w:w="120"/>
              <w:bottom w:type="dxa" w:w="50"/>
              <w:right w:type="dxa" w:w="100"/>
            </w:tcMar>
          </w:tcPr>
          <w:p>
            <w:pPr>
              <w:spacing w:after="0" w:before="0" w:line="276"/>
            </w:pPr>
            <w:r>
              <w:rPr>
                <w:rFonts w:ascii="Calibri" w:cs="Calibri" w:eastAsia="Calibri" w:hAnsi="Calibri"/>
                <w:b/>
                <w:bCs/>
                <w:color w:val="0B6670"/>
                <w:sz w:val="17"/>
                <w:szCs w:val="17"/>
              </w:rPr>
              <w:t xml:space="preserve">Hybrid Mesh Firewall (HMF)</w:t>
            </w:r>
          </w:p>
        </w:tc>
        <w:tc>
          <w:tcPr>
            <w:tcW w:type="dxa" w:w="5803"/>
            <w:tcBorders>
              <w:top w:val="none" w:color="FFFFFF" w:sz="0"/>
              <w:left w:val="none" w:color="FFFFFF" w:sz="0"/>
              <w:bottom w:val="none" w:color="FFFFFF" w:sz="0"/>
              <w:right w:val="none" w:color="FFFFFF" w:sz="0"/>
            </w:tcBorders>
            <w:tcMar>
              <w:top w:type="dxa" w:w="50"/>
              <w:left w:type="dxa" w:w="110"/>
              <w:bottom w:type="dxa" w:w="50"/>
              <w:right w:type="dxa" w:w="130"/>
            </w:tcMar>
          </w:tcPr>
          <w:p>
            <w:pPr>
              <w:spacing w:after="0" w:before="0" w:line="276"/>
            </w:pPr>
            <w:r>
              <w:rPr>
                <w:rFonts w:ascii="Calibri" w:cs="Calibri" w:eastAsia="Calibri" w:hAnsi="Calibri"/>
                <w:color w:val="46566E"/>
                <w:sz w:val="17"/>
                <w:szCs w:val="17"/>
              </w:rPr>
              <w:t xml:space="preserve">Cisco's approach to consistent security enforcement across firewalls,…</w:t>
            </w:r>
          </w:p>
        </w:tc>
      </w:tr>
    </w:tbl>
    <w:p>
      <w:pPr>
        <w:spacing w:after="80" w:before="180" w:line="276"/>
      </w:pPr>
      <w:r>
        <w:rPr>
          <w:rFonts w:ascii="Calibri" w:cs="Calibri" w:eastAsia="Calibri" w:hAnsi="Calibri"/>
          <w:b/>
          <w:bCs/>
          <w:color w:val="0D274D"/>
          <w:sz w:val="30"/>
          <w:szCs w:val="30"/>
        </w:rPr>
        <w:t xml:space="preserve">Decode the jargon</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3089"/>
        <w:gridCol w:w="6271"/>
      </w:tblGrid>
      <w:tr>
        <w:tc>
          <w:tcPr>
            <w:tcW w:type="dxa" w:w="3089"/>
            <w:tcBorders>
              <w:top w:val="none" w:color="FFFFFF" w:sz="0"/>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EU AI Act, Article 15</w:t>
            </w:r>
          </w:p>
        </w:tc>
        <w:tc>
          <w:tcPr>
            <w:tcW w:type="dxa" w:w="6271"/>
            <w:tcBorders>
              <w:top w:val="none" w:color="FFFFFF" w:sz="0"/>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EU law classifying AI by risk. A 'Provider' must prove robustness and cybersecurity.</w:t>
            </w:r>
          </w:p>
        </w:tc>
      </w:tr>
      <w:tr>
        <w:tc>
          <w:tcPr>
            <w:tcW w:type="dxa" w:w="3089"/>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MCP (Model Context Protocol)</w:t>
            </w:r>
          </w:p>
        </w:tc>
        <w:tc>
          <w:tcPr>
            <w:tcW w:type="dxa" w:w="6271"/>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How AI agents connect to tools and data, creating a new supply-chain surface to secure.</w:t>
            </w:r>
          </w:p>
        </w:tc>
      </w:tr>
      <w:tr>
        <w:tc>
          <w:tcPr>
            <w:tcW w:type="dxa" w:w="3089"/>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East-west traffic</w:t>
            </w:r>
          </w:p>
        </w:tc>
        <w:tc>
          <w:tcPr>
            <w:tcW w:type="dxa" w:w="6271"/>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Traffic between workloads inside the data centre, as opposed to north-south, which flows in and out.</w:t>
            </w:r>
          </w:p>
        </w:tc>
      </w:tr>
      <w:tr>
        <w:tc>
          <w:tcPr>
            <w:tcW w:type="dxa" w:w="3089"/>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Lateral movement</w:t>
            </w:r>
          </w:p>
        </w:tc>
        <w:tc>
          <w:tcPr>
            <w:tcW w:type="dxa" w:w="6271"/>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An attacker hopping from one compromised system to others on the inside.</w:t>
            </w:r>
          </w:p>
        </w:tc>
      </w:tr>
      <w:tr>
        <w:tc>
          <w:tcPr>
            <w:tcW w:type="dxa" w:w="3089"/>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Micro-segmentation</w:t>
            </w:r>
          </w:p>
        </w:tc>
        <w:tc>
          <w:tcPr>
            <w:tcW w:type="dxa" w:w="6271"/>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Fine-grained isolation of individual workloads so a breach cannot spread.</w:t>
            </w:r>
          </w:p>
        </w:tc>
      </w:tr>
      <w:tr>
        <w:tc>
          <w:tcPr>
            <w:tcW w:type="dxa" w:w="3089"/>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eBPF</w:t>
            </w:r>
          </w:p>
        </w:tc>
        <w:tc>
          <w:tcPr>
            <w:tcW w:type="dxa" w:w="6271"/>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Linux kernel technology used to observe and enforce networking and security with low overhead.</w:t>
            </w:r>
          </w:p>
        </w:tc>
      </w:tr>
      <w:tr>
        <w:tc>
          <w:tcPr>
            <w:tcW w:type="dxa" w:w="3089"/>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EVE (Encrypted Visibility Engine)</w:t>
            </w:r>
          </w:p>
        </w:tc>
        <w:tc>
          <w:tcPr>
            <w:tcW w:type="dxa" w:w="6271"/>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Infers threats from encrypted traffic patterns without decrypting it.</w:t>
            </w:r>
          </w:p>
        </w:tc>
      </w:tr>
      <w:tr>
        <w:tc>
          <w:tcPr>
            <w:tcW w:type="dxa" w:w="3089"/>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Snort ML</w:t>
            </w:r>
          </w:p>
        </w:tc>
        <w:tc>
          <w:tcPr>
            <w:tcW w:type="dxa" w:w="6271"/>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Machine-learning detection inside the Snort engine for unknown and zero-day exploits.</w:t>
            </w:r>
          </w:p>
        </w:tc>
      </w:tr>
      <w:tr>
        <w:tc>
          <w:tcPr>
            <w:tcW w:type="dxa" w:w="3089"/>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pxGrid</w:t>
            </w:r>
          </w:p>
        </w:tc>
        <w:tc>
          <w:tcPr>
            <w:tcW w:type="dxa" w:w="6271"/>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Cisco's context-sharing fabric so tools can act on identity, for example an automatic quarantine via ISE.</w:t>
            </w:r>
          </w:p>
        </w:tc>
      </w:tr>
      <w:tr>
        <w:tc>
          <w:tcPr>
            <w:tcW w:type="dxa" w:w="3089"/>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Hybrid Mesh Firewall (HMF)</w:t>
            </w:r>
          </w:p>
        </w:tc>
        <w:tc>
          <w:tcPr>
            <w:tcW w:type="dxa" w:w="6271"/>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Consistent security enforcement across firewalls, cloud gateways, workloads and Kubernetes, managed centrally.</w:t>
            </w:r>
          </w:p>
        </w:tc>
      </w:tr>
    </w:tbl>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1</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1</w:t>
            </w:r>
          </w:p>
        </w:tc>
      </w:tr>
    </w:tbl>
    <w:p>
      <w:pPr>
        <w:spacing w:after="6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conversation.  </w:t>
            </w:r>
            <w:r>
              <w:rPr>
                <w:rFonts w:ascii="Calibri" w:cs="Calibri" w:eastAsia="Calibri" w:hAnsi="Calibri"/>
                <w:color w:val="33465F"/>
                <w:sz w:val="20"/>
                <w:szCs w:val="20"/>
              </w:rPr>
              <w:t xml:space="preserve">Cedarline is standing up AI across regulated workflows and public cloud faster than security can see it. Help them prove compliance, vet what they adopt, and get visibility and guardrails over AI traffic.</w:t>
            </w:r>
          </w:p>
        </w:tc>
      </w:tr>
    </w:tbl>
    <w:p>
      <w:pPr>
        <w:spacing w:after="8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74D" w:sz="6"/>
              <w:left w:val="single" w:color="0D274D" w:sz="6"/>
              <w:bottom w:val="single" w:color="0D274D" w:sz="6"/>
              <w:right w:val="single" w:color="0D274D" w:sz="6"/>
            </w:tcBorders>
            <w:shd w:fill="0D274D"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7FE2EF"/>
                <w:sz w:val="19"/>
                <w:szCs w:val="19"/>
              </w:rPr>
              <w:t xml:space="preserve">Your task.  </w:t>
            </w:r>
            <w:r>
              <w:rPr>
                <w:rFonts w:ascii="Calibri" w:cs="Calibri" w:eastAsia="Calibri" w:hAnsi="Calibri"/>
                <w:color w:val="EAF1F8"/>
                <w:sz w:val="19"/>
                <w:szCs w:val="19"/>
              </w:rPr>
              <w:t xml:space="preserve">For each pain point below, name the product from the cheat-strip, then write how it helps and the outcome it delivers.</w:t>
            </w:r>
          </w:p>
        </w:tc>
      </w:tr>
    </w:tbl>
    <w:p>
      <w:pPr>
        <w:spacing w:after="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1</w:t>
      </w:r>
      <w:r>
        <w:rPr>
          <w:rFonts w:ascii="Calibri" w:cs="Calibri" w:eastAsia="Calibri" w:hAnsi="Calibri"/>
          <w:color w:val="7E8CA1"/>
          <w:sz w:val="15"/>
          <w:szCs w:val="15"/>
        </w:rPr>
        <w:t xml:space="preserve">   Case Study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Under the EU AI Act, we are classified as a 'Provider' for our internal AI systems. We need to demonstrate robustness and cybersecurity compliance to satisfy Article 15. How does Cisco help us meet these specific requirements?</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2</w:t>
      </w:r>
      <w:r>
        <w:rPr>
          <w:rFonts w:ascii="Calibri" w:cs="Calibri" w:eastAsia="Calibri" w:hAnsi="Calibri"/>
          <w:color w:val="7E8CA1"/>
          <w:sz w:val="15"/>
          <w:szCs w:val="15"/>
        </w:rPr>
        <w:t xml:space="preserve">   Case Study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are integrating various open-source models and third-party agents into our internal workflows. How can we ensure these assets aren't introducing vulnerabilities into our environment before they even go live?</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3</w:t>
      </w:r>
      <w:r>
        <w:rPr>
          <w:rFonts w:ascii="Calibri" w:cs="Calibri" w:eastAsia="Calibri" w:hAnsi="Calibri"/>
          <w:color w:val="7E8CA1"/>
          <w:sz w:val="15"/>
          <w:szCs w:val="15"/>
        </w:rPr>
        <w:t xml:space="preserve">   Case Study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know AI is showing up across our cloud environments faster than security can track it. We're worried we have models, agents, datasets, and MCP-connected tools running without visibility or consistent controls.</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4</w:t>
      </w:r>
      <w:r>
        <w:rPr>
          <w:rFonts w:ascii="Calibri" w:cs="Calibri" w:eastAsia="Calibri" w:hAnsi="Calibri"/>
          <w:color w:val="7E8CA1"/>
          <w:sz w:val="15"/>
          <w:szCs w:val="15"/>
        </w:rPr>
        <w:t xml:space="preserve">   Case Study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We're running AI workloads in cloud accounts, but we don't have a reliable way to see which models and AI assets are actually in use. We're also concerned about workloads reaching out to third-party AI models without security knowing about it. And even when we do know the traffic path, we need a practical way to inspect and enforce guardrails on prompt and response traffic in the cloud without changing every application.</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2</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2</w:t>
            </w:r>
          </w:p>
        </w:tc>
      </w:tr>
    </w:tbl>
    <w:p>
      <w:pPr>
        <w:spacing w:after="6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conversation.  </w:t>
            </w:r>
            <w:r>
              <w:rPr>
                <w:rFonts w:ascii="Calibri" w:cs="Calibri" w:eastAsia="Calibri" w:hAnsi="Calibri"/>
                <w:color w:val="33465F"/>
                <w:sz w:val="20"/>
                <w:szCs w:val="20"/>
              </w:rPr>
              <w:t xml:space="preserve">Workloads sprawl across AWS, Azure and on-prem, each with its own policy model. Contain lateral movement, prove consistent controls to auditors, and give Cedarline one place to define and enforce policy.</w:t>
            </w:r>
          </w:p>
        </w:tc>
      </w:tr>
    </w:tbl>
    <w:p>
      <w:pPr>
        <w:spacing w:after="8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74D" w:sz="6"/>
              <w:left w:val="single" w:color="0D274D" w:sz="6"/>
              <w:bottom w:val="single" w:color="0D274D" w:sz="6"/>
              <w:right w:val="single" w:color="0D274D" w:sz="6"/>
            </w:tcBorders>
            <w:shd w:fill="0D274D"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7FE2EF"/>
                <w:sz w:val="19"/>
                <w:szCs w:val="19"/>
              </w:rPr>
              <w:t xml:space="preserve">Your task.  </w:t>
            </w:r>
            <w:r>
              <w:rPr>
                <w:rFonts w:ascii="Calibri" w:cs="Calibri" w:eastAsia="Calibri" w:hAnsi="Calibri"/>
                <w:color w:val="EAF1F8"/>
                <w:sz w:val="19"/>
                <w:szCs w:val="19"/>
              </w:rPr>
              <w:t xml:space="preserve">For each pain point below, name the product from the cheat-strip, then write how it helps and the outcome it delivers.</w:t>
            </w:r>
          </w:p>
        </w:tc>
      </w:tr>
    </w:tbl>
    <w:p>
      <w:pPr>
        <w:spacing w:after="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1</w:t>
      </w:r>
      <w:r>
        <w:rPr>
          <w:rFonts w:ascii="Calibri" w:cs="Calibri" w:eastAsia="Calibri" w:hAnsi="Calibri"/>
          <w:color w:val="7E8CA1"/>
          <w:sz w:val="15"/>
          <w:szCs w:val="15"/>
        </w:rPr>
        <w:t xml:space="preserve">   Case Study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If a breach occurs in one of our public cloud instances, we are terrified that the attacker will move laterally into our core on-premises systems. How can we contain these threats in a multicloud environment?</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2</w:t>
      </w:r>
      <w:r>
        <w:rPr>
          <w:rFonts w:ascii="Calibri" w:cs="Calibri" w:eastAsia="Calibri" w:hAnsi="Calibri"/>
          <w:color w:val="7E8CA1"/>
          <w:sz w:val="15"/>
          <w:szCs w:val="15"/>
        </w:rPr>
        <w:t xml:space="preserve">   Case Study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auditors require proof that our security controls are applied consistently across all our cloud workloads. Gathering this data from different cloud providers is a manual, time-consuming nightmare.</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3</w:t>
      </w:r>
      <w:r>
        <w:rPr>
          <w:rFonts w:ascii="Calibri" w:cs="Calibri" w:eastAsia="Calibri" w:hAnsi="Calibri"/>
          <w:color w:val="7E8CA1"/>
          <w:sz w:val="15"/>
          <w:szCs w:val="15"/>
        </w:rPr>
        <w:t xml:space="preserve">   Case Study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have workloads spread across AWS, Azure, and on-premises data centers. Managing security policies individually in each cloud environment is creating massive operational overhead and leading to inconsistent security posture.</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4</w:t>
      </w:r>
      <w:r>
        <w:rPr>
          <w:rFonts w:ascii="Calibri" w:cs="Calibri" w:eastAsia="Calibri" w:hAnsi="Calibri"/>
          <w:color w:val="7E8CA1"/>
          <w:sz w:val="15"/>
          <w:szCs w:val="15"/>
        </w:rPr>
        <w:t xml:space="preserve">   Case Study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have workloads on-prem, in cloud, and in mixed environments, and policy consistency is becoming difficult. Every environment feels different, and we're worried about drift.</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3</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3</w:t>
            </w:r>
          </w:p>
        </w:tc>
      </w:tr>
    </w:tbl>
    <w:p>
      <w:pPr>
        <w:spacing w:after="6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conversation.  </w:t>
            </w:r>
            <w:r>
              <w:rPr>
                <w:rFonts w:ascii="Calibri" w:cs="Calibri" w:eastAsia="Calibri" w:hAnsi="Calibri"/>
                <w:color w:val="33465F"/>
                <w:sz w:val="20"/>
                <w:szCs w:val="20"/>
              </w:rPr>
              <w:t xml:space="preserve">A mixed-vendor perimeter, an inherited rulebase and mostly encrypted traffic leave blind spots and a slow response. Restore visibility, speed the response, and modernise detection with the team they have.</w:t>
            </w:r>
          </w:p>
        </w:tc>
      </w:tr>
    </w:tbl>
    <w:p>
      <w:pPr>
        <w:spacing w:after="8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74D" w:sz="6"/>
              <w:left w:val="single" w:color="0D274D" w:sz="6"/>
              <w:bottom w:val="single" w:color="0D274D" w:sz="6"/>
              <w:right w:val="single" w:color="0D274D" w:sz="6"/>
            </w:tcBorders>
            <w:shd w:fill="0D274D"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7FE2EF"/>
                <w:sz w:val="19"/>
                <w:szCs w:val="19"/>
              </w:rPr>
              <w:t xml:space="preserve">Your task.  </w:t>
            </w:r>
            <w:r>
              <w:rPr>
                <w:rFonts w:ascii="Calibri" w:cs="Calibri" w:eastAsia="Calibri" w:hAnsi="Calibri"/>
                <w:color w:val="EAF1F8"/>
                <w:sz w:val="19"/>
                <w:szCs w:val="19"/>
              </w:rPr>
              <w:t xml:space="preserve">For each pain point below, name the product from the cheat-strip, then write how it helps and the outcome it delivers.</w:t>
            </w:r>
          </w:p>
        </w:tc>
      </w:tr>
    </w:tbl>
    <w:p>
      <w:pPr>
        <w:spacing w:after="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1</w:t>
      </w:r>
      <w:r>
        <w:rPr>
          <w:rFonts w:ascii="Calibri" w:cs="Calibri" w:eastAsia="Calibri" w:hAnsi="Calibri"/>
          <w:color w:val="7E8CA1"/>
          <w:sz w:val="15"/>
          <w:szCs w:val="15"/>
        </w:rPr>
        <w:t xml:space="preserve">   Case Study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When our security tools detect a compromised device, our manual response time is too slow. By the time we identify the user and manually isolate the port, the attacker has already moved through the network.</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2</w:t>
      </w:r>
      <w:r>
        <w:rPr>
          <w:rFonts w:ascii="Calibri" w:cs="Calibri" w:eastAsia="Calibri" w:hAnsi="Calibri"/>
          <w:color w:val="7E8CA1"/>
          <w:sz w:val="15"/>
          <w:szCs w:val="15"/>
        </w:rPr>
        <w:t xml:space="preserve">   Case Study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firewall environment has become too complex to manage manually.</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3</w:t>
      </w:r>
      <w:r>
        <w:rPr>
          <w:rFonts w:ascii="Calibri" w:cs="Calibri" w:eastAsia="Calibri" w:hAnsi="Calibri"/>
          <w:color w:val="7E8CA1"/>
          <w:sz w:val="15"/>
          <w:szCs w:val="15"/>
        </w:rPr>
        <w:t xml:space="preserve">   Case Study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Most of our traffic is encrypted, so we've lost visibility into a huge part of our environment.</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4</w:t>
      </w:r>
      <w:r>
        <w:rPr>
          <w:rFonts w:ascii="Calibri" w:cs="Calibri" w:eastAsia="Calibri" w:hAnsi="Calibri"/>
          <w:color w:val="7E8CA1"/>
          <w:sz w:val="15"/>
          <w:szCs w:val="15"/>
        </w:rPr>
        <w:t xml:space="preserve">   Case Study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We're worried traditional signature-based detection won't catch new or unknown attacks quickly enough.</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4</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4</w:t>
            </w:r>
          </w:p>
        </w:tc>
      </w:tr>
    </w:tbl>
    <w:p>
      <w:pPr>
        <w:spacing w:after="6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conversation.  </w:t>
            </w:r>
            <w:r>
              <w:rPr>
                <w:rFonts w:ascii="Calibri" w:cs="Calibri" w:eastAsia="Calibri" w:hAnsi="Calibri"/>
                <w:color w:val="33465F"/>
                <w:sz w:val="20"/>
                <w:szCs w:val="20"/>
              </w:rPr>
              <w:t xml:space="preserve">A flat data centre and fragmented Kubernetes networking invite east-west movement. Build segmentation Cedarline can adopt safely, with runtime visibility and application-dependency awareness so nothing breaks.</w:t>
            </w:r>
          </w:p>
        </w:tc>
      </w:tr>
    </w:tbl>
    <w:p>
      <w:pPr>
        <w:spacing w:after="8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74D" w:sz="6"/>
              <w:left w:val="single" w:color="0D274D" w:sz="6"/>
              <w:bottom w:val="single" w:color="0D274D" w:sz="6"/>
              <w:right w:val="single" w:color="0D274D" w:sz="6"/>
            </w:tcBorders>
            <w:shd w:fill="0D274D"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7FE2EF"/>
                <w:sz w:val="19"/>
                <w:szCs w:val="19"/>
              </w:rPr>
              <w:t xml:space="preserve">Your task.  </w:t>
            </w:r>
            <w:r>
              <w:rPr>
                <w:rFonts w:ascii="Calibri" w:cs="Calibri" w:eastAsia="Calibri" w:hAnsi="Calibri"/>
                <w:color w:val="EAF1F8"/>
                <w:sz w:val="19"/>
                <w:szCs w:val="19"/>
              </w:rPr>
              <w:t xml:space="preserve">For each pain point below, name the product from the cheat-strip, then write how it helps and the outcome it delivers.</w:t>
            </w:r>
          </w:p>
        </w:tc>
      </w:tr>
    </w:tbl>
    <w:p>
      <w:pPr>
        <w:spacing w:after="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1</w:t>
      </w:r>
      <w:r>
        <w:rPr>
          <w:rFonts w:ascii="Calibri" w:cs="Calibri" w:eastAsia="Calibri" w:hAnsi="Calibri"/>
          <w:color w:val="7E8CA1"/>
          <w:sz w:val="15"/>
          <w:szCs w:val="15"/>
        </w:rPr>
        <w:t xml:space="preserve">   Case Study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Network policy helps, but we also need to know what's happening at runtime inside the workload. We need better detection of suspicious behavior and policy violations.</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2</w:t>
      </w:r>
      <w:r>
        <w:rPr>
          <w:rFonts w:ascii="Calibri" w:cs="Calibri" w:eastAsia="Calibri" w:hAnsi="Calibri"/>
          <w:color w:val="7E8CA1"/>
          <w:sz w:val="15"/>
          <w:szCs w:val="15"/>
        </w:rPr>
        <w:t xml:space="preserve">   Case Study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Kubernetes networking feels fragmented across clusters and environments. We're dealing with too many moving parts, inconsistent policies, and too much operational complexity.</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3</w:t>
      </w:r>
      <w:r>
        <w:rPr>
          <w:rFonts w:ascii="Calibri" w:cs="Calibri" w:eastAsia="Calibri" w:hAnsi="Calibri"/>
          <w:color w:val="7E8CA1"/>
          <w:sz w:val="15"/>
          <w:szCs w:val="15"/>
        </w:rPr>
        <w:t xml:space="preserve">   Case Study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Right now we're stitching together separate tools for networking, security, and observability in Kubernetes, and it's creating too much overhead.</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4</w:t>
      </w:r>
      <w:r>
        <w:rPr>
          <w:rFonts w:ascii="Calibri" w:cs="Calibri" w:eastAsia="Calibri" w:hAnsi="Calibri"/>
          <w:color w:val="7E8CA1"/>
          <w:sz w:val="15"/>
          <w:szCs w:val="15"/>
        </w:rPr>
        <w:t xml:space="preserve">   Case Study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know we need microsegmentation, but we don't have enough visibility into east-west flows or application dependencies to create policy safely. We don't want to break the application.</w:t>
            </w:r>
          </w:p>
        </w:tc>
      </w:tr>
    </w:tbl>
    <w:tbl>
      <w:tblPr>
        <w:tblW w:type="dxa" w:w="9360"/>
        <w:tblBorders>
          <w:top w:val="single" w:color="C4D2E2" w:sz="6"/>
          <w:left w:val="single" w:color="C4D2E2" w:sz="6"/>
          <w:bottom w:val="single" w:color="C4D2E2" w:sz="6"/>
          <w:right w:val="single" w:color="C4D2E2" w:sz="6"/>
          <w:insideH w:val="single" w:color="EDF2F8" w:sz="4"/>
          <w:insideV w:val="none" w:color="FFFFFF" w:sz="0"/>
        </w:tblBorders>
      </w:tblPr>
      <w:tblGrid>
        <w:gridCol w:w="2000"/>
        <w:gridCol w:w="7360"/>
      </w:tblGrid>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Product / platform</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1304"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How it helps</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r>
        <w:trPr>
          <w:trHeight w:val="369" w:hRule="atLeast"/>
        </w:trPr>
        <w:tc>
          <w:tcPr>
            <w:tcW w:type="dxa" w:w="2000"/>
            <w:tcBorders>
              <w:top w:val="none" w:color="FFFFFF" w:sz="0"/>
              <w:left w:val="none" w:color="FFFFFF" w:sz="0"/>
              <w:bottom w:val="none" w:color="FFFFFF" w:sz="0"/>
              <w:right w:val="none" w:color="FFFFFF" w:sz="0"/>
            </w:tcBorders>
            <w:tcMar>
              <w:top w:type="dxa" w:w="90"/>
              <w:left w:type="dxa" w:w="150"/>
              <w:bottom w:type="dxa" w:w="90"/>
              <w:right w:type="dxa" w:w="100"/>
            </w:tcMar>
            <w:vAlign w:val="top"/>
          </w:tcPr>
          <w:p>
            <w:pPr>
              <w:spacing w:after="0" w:before="0" w:line="276"/>
            </w:pPr>
            <w:r>
              <w:rPr>
                <w:rFonts w:ascii="Calibri" w:cs="Calibri" w:eastAsia="Calibri" w:hAnsi="Calibri"/>
                <w:b/>
                <w:bCs/>
                <w:caps/>
                <w:color w:val="036C8F"/>
                <w:sz w:val="15"/>
                <w:szCs w:val="15"/>
              </w:rPr>
              <w:t xml:space="preserve">Outcome</w:t>
            </w:r>
          </w:p>
        </w:tc>
        <w:tc>
          <w:tcPr>
            <w:tcW w:type="dxa" w:w="7360"/>
            <w:tcBorders>
              <w:top w:val="none" w:color="FFFFFF" w:sz="0"/>
              <w:left w:val="none" w:color="FFFFFF" w:sz="0"/>
              <w:bottom w:val="none" w:color="FFFFFF" w:sz="0"/>
              <w:right w:val="none" w:color="FFFFFF" w:sz="0"/>
            </w:tcBorders>
            <w:tcMar>
              <w:top w:type="dxa" w:w="90"/>
              <w:left w:type="dxa" w:w="120"/>
              <w:bottom w:type="dxa" w:w="90"/>
              <w:right w:type="dxa" w:w="140"/>
            </w:tcMar>
          </w:tcPr>
          <w:p>
            <w:pPr>
              <w:spacing w:after="0" w:before="0" w:line="276"/>
            </w:pPr>
            <w:r>
              <w:rPr>
                <w:rFonts w:ascii="Calibri" w:cs="Calibri" w:eastAsia="Calibri" w:hAnsi="Calibri"/>
                <w:color w:val="14263A"/>
                <w:sz w:val="2"/>
                <w:szCs w:val="2"/>
              </w:rPr>
              <w:t xml:space="preserve"/>
            </w:r>
          </w:p>
        </w:tc>
      </w:tr>
    </w:tbl>
    <w:p>
      <w:pPr>
        <w:spacing w:after="160"/>
      </w:pPr>
      <w:r>
        <w:rPr>
          <w:rFonts w:ascii="Calibri" w:cs="Calibri" w:eastAsia="Calibri" w:hAnsi="Calibri"/>
          <w:color w:val="14263A"/>
          <w:sz w:val="2"/>
          <w:szCs w:val="2"/>
        </w:rPr>
        <w:t xml:space="preserve"/>
      </w:r>
    </w:p>
    <w:p>
      <w:pPr>
        <w:pageBreakBefore/>
        <w:spacing w:after="0" w:before="0" w:line="276"/>
      </w:pPr>
    </w:p>
    <w:p>
      <w:pPr>
        <w:spacing w:after="40" w:before="0" w:line="276"/>
      </w:pPr>
      <w:r>
        <w:rPr>
          <w:rFonts w:ascii="Calibri" w:cs="Calibri" w:eastAsia="Calibri" w:hAnsi="Calibri"/>
          <w:b/>
          <w:bCs/>
          <w:caps/>
          <w:color w:val="036C8F"/>
          <w:sz w:val="16"/>
          <w:szCs w:val="16"/>
        </w:rPr>
        <w:t xml:space="preserve">Bring it together</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Your Hybrid Mesh Firewall design</w:t>
      </w:r>
    </w:p>
    <w:p>
      <w:pPr>
        <w:spacing w:after="140" w:before="0" w:line="276"/>
      </w:pPr>
      <w:r>
        <w:rPr>
          <w:rFonts w:ascii="Calibri" w:cs="Calibri" w:eastAsia="Calibri" w:hAnsi="Calibri"/>
          <w:color w:val="3A4C63"/>
          <w:sz w:val="21"/>
          <w:szCs w:val="21"/>
        </w:rPr>
        <w:t xml:space="preserve">Four conversations, one story. Combine your case studies into a single HMF design and paste your team's topology below. Your facilitator collects this for </w:t>
      </w:r>
      <w:r>
        <w:rPr>
          <w:rFonts w:ascii="Calibri" w:cs="Calibri" w:eastAsia="Calibri" w:hAnsi="Calibri"/>
          <w:b/>
          <w:bCs/>
          <w:color w:val="0D274D"/>
          <w:sz w:val="21"/>
          <w:szCs w:val="21"/>
        </w:rPr>
        <w:t xml:space="preserve">Subject Matter Expert (SME) review</w:t>
      </w:r>
      <w:r>
        <w:rPr>
          <w:rFonts w:ascii="Calibri" w:cs="Calibri" w:eastAsia="Calibri" w:hAnsi="Calibri"/>
          <w:color w:val="3A4C63"/>
          <w:sz w:val="21"/>
          <w:szCs w:val="21"/>
        </w:rPr>
        <w:t xml:space="preserve">: it is reviewed, not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655" w:hRule="atLeast"/>
        </w:trPr>
        <w:tc>
          <w:tcPr>
            <w:tcW w:type="dxa" w:w="9360"/>
            <w:tcBorders>
              <w:top w:val="single" w:color="9FC9DD" w:sz="6"/>
              <w:left w:val="single" w:color="9FC9DD" w:sz="6"/>
              <w:bottom w:val="single" w:color="9FC9DD" w:sz="6"/>
              <w:right w:val="single" w:color="9FC9DD" w:sz="6"/>
            </w:tcBorders>
            <w:shd w:fill="F7FCFE" w:color="auto" w:val="clear"/>
            <w:tcMar>
              <w:top w:type="dxa" w:w="110"/>
              <w:left w:type="dxa" w:w="160"/>
              <w:bottom w:type="dxa" w:w="110"/>
              <w:right w:type="dxa" w:w="160"/>
            </w:tcMar>
            <w:vAlign w:val="center"/>
          </w:tcPr>
          <w:p>
            <w:pPr>
              <w:spacing w:after="60" w:before="0" w:line="276"/>
              <w:jc w:val="center"/>
            </w:pPr>
            <w:r>
              <w:rPr>
                <w:rFonts w:ascii="Calibri" w:cs="Calibri" w:eastAsia="Calibri" w:hAnsi="Calibri"/>
                <w:b/>
                <w:bCs/>
                <w:color w:val="0D274D"/>
                <w:sz w:val="26"/>
                <w:szCs w:val="26"/>
              </w:rPr>
              <w:t xml:space="preserve">Paste your team's topology diagram here</w:t>
            </w:r>
          </w:p>
          <w:p>
            <w:pPr>
              <w:spacing w:after="0" w:before="0" w:line="276"/>
              <w:jc w:val="center"/>
            </w:pPr>
            <w:r>
              <w:rPr>
                <w:rFonts w:ascii="Calibri" w:cs="Calibri" w:eastAsia="Calibri" w:hAnsi="Calibri"/>
                <w:color w:val="6B7D93"/>
                <w:sz w:val="20"/>
                <w:szCs w:val="20"/>
              </w:rPr>
              <w:t xml:space="preserve">Show how the four case studies connect across Cedarline's on-prem, data-centre and multicloud estate. Submitted for SME review.</w:t>
            </w:r>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For the proctor</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Proctor evaluation</w:t>
      </w:r>
    </w:p>
    <w:p>
      <w:pPr>
        <w:spacing w:after="120" w:before="0" w:line="276"/>
      </w:pPr>
      <w:r>
        <w:rPr>
          <w:rFonts w:ascii="Calibri" w:cs="Calibri" w:eastAsia="Calibri" w:hAnsi="Calibri"/>
          <w:color w:val="3A4C63"/>
          <w:sz w:val="21"/>
          <w:szCs w:val="21"/>
        </w:rPr>
        <w:t xml:space="preserve">This page is completed by the proctor after your team submits the Workbook. Each case study is scored out of 100 against the Grading Guide, with feedback that supports the score, for an overall score out of 400.</w:t>
      </w:r>
    </w:p>
    <w:p>
      <w:pPr>
        <w:spacing w:after="120" w:before="0" w:line="276"/>
      </w:pPr>
      <w:r>
        <w:rPr>
          <w:rFonts w:ascii="Calibri" w:cs="Calibri" w:eastAsia="Calibri" w:hAnsi="Calibri"/>
          <w:b/>
          <w:bCs/>
          <w:color w:val="0D274D"/>
          <w:sz w:val="21"/>
          <w:szCs w:val="21"/>
        </w:rPr>
        <w:t xml:space="preserve">Team </w:t>
      </w:r>
      <w:r>
        <w:rPr>
          <w:rFonts w:ascii="Calibri" w:cs="Calibri" w:eastAsia="Calibri" w:hAnsi="Calibri"/>
          <w:color w:val="8091A4"/>
          <w:sz w:val="21"/>
          <w:szCs w:val="21"/>
        </w:rPr>
        <w:t xml:space="preserve">____________________     </w:t>
      </w:r>
      <w:r>
        <w:rPr>
          <w:rFonts w:ascii="Calibri" w:cs="Calibri" w:eastAsia="Calibri" w:hAnsi="Calibri"/>
          <w:b/>
          <w:bCs/>
          <w:color w:val="0D274D"/>
          <w:sz w:val="21"/>
          <w:szCs w:val="21"/>
        </w:rPr>
        <w:t xml:space="preserve">Members (up to 8) </w:t>
      </w:r>
      <w:r>
        <w:rPr>
          <w:rFonts w:ascii="Calibri" w:cs="Calibri" w:eastAsia="Calibri" w:hAnsi="Calibri"/>
          <w:color w:val="8091A4"/>
          <w:sz w:val="21"/>
          <w:szCs w:val="21"/>
        </w:rPr>
        <w:t xml:space="preserve">____________________     </w:t>
      </w:r>
      <w:r>
        <w:rPr>
          <w:rFonts w:ascii="Calibri" w:cs="Calibri" w:eastAsia="Calibri" w:hAnsi="Calibri"/>
          <w:b/>
          <w:bCs/>
          <w:color w:val="0D274D"/>
          <w:sz w:val="21"/>
          <w:szCs w:val="21"/>
        </w:rPr>
        <w:t xml:space="preserve">Date </w:t>
      </w:r>
      <w:r>
        <w:rPr>
          <w:rFonts w:ascii="Calibri" w:cs="Calibri" w:eastAsia="Calibri" w:hAnsi="Calibri"/>
          <w:color w:val="8091A4"/>
          <w:sz w:val="21"/>
          <w:szCs w:val="21"/>
        </w:rPr>
        <w:t xml:space="preserve">__________</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500"/>
        <w:gridCol w:w="1900"/>
        <w:gridCol w:w="4960"/>
      </w:tblGrid>
      <w:tr>
        <w:trPr>
          <w:tblHeader/>
        </w:trPr>
        <w:tc>
          <w:tcPr>
            <w:tcW w:type="dxa" w:w="2500"/>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jc w:val="left"/>
            </w:pPr>
            <w:r>
              <w:rPr>
                <w:rFonts w:ascii="Calibri" w:cs="Calibri" w:eastAsia="Calibri" w:hAnsi="Calibri"/>
                <w:b/>
                <w:bCs/>
                <w:caps/>
                <w:color w:val="FFFFFF"/>
                <w:sz w:val="14"/>
                <w:szCs w:val="14"/>
              </w:rPr>
              <w:t xml:space="preserve">Case Study</w:t>
            </w:r>
          </w:p>
        </w:tc>
        <w:tc>
          <w:tcPr>
            <w:tcW w:type="dxa" w:w="1900"/>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jc w:val="center"/>
            </w:pPr>
            <w:r>
              <w:rPr>
                <w:rFonts w:ascii="Calibri" w:cs="Calibri" w:eastAsia="Calibri" w:hAnsi="Calibri"/>
                <w:b/>
                <w:bCs/>
                <w:caps/>
                <w:color w:val="FFFFFF"/>
                <w:sz w:val="14"/>
                <w:szCs w:val="14"/>
              </w:rPr>
              <w:t xml:space="preserve">Score / 100</w:t>
            </w:r>
          </w:p>
        </w:tc>
        <w:tc>
          <w:tcPr>
            <w:tcW w:type="dxa" w:w="4960"/>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jc w:val="left"/>
            </w:pPr>
            <w:r>
              <w:rPr>
                <w:rFonts w:ascii="Calibri" w:cs="Calibri" w:eastAsia="Calibri" w:hAnsi="Calibri"/>
                <w:b/>
                <w:bCs/>
                <w:caps/>
                <w:color w:val="FFFFFF"/>
                <w:sz w:val="14"/>
                <w:szCs w:val="14"/>
              </w:rPr>
              <w:t xml:space="preserve">Feedback for this case study</w:t>
            </w:r>
          </w:p>
        </w:tc>
      </w:tr>
      <w:tr>
        <w:trPr>
          <w:trHeight w:val="680" w:hRule="atLeast"/>
        </w:trPr>
        <w:tc>
          <w:tcPr>
            <w:tcW w:type="dxa" w:w="2500"/>
            <w:tcBorders>
              <w:top w:val="single" w:color="E4EBF3" w:sz="4"/>
              <w:left w:val="none" w:color="FFFFFF" w:sz="0"/>
              <w:bottom w:val="none" w:color="FFFFFF" w:sz="0"/>
              <w:right w:val="none" w:color="FFFFFF" w:sz="0"/>
            </w:tcBorders>
            <w:tcMar>
              <w:top w:type="dxa" w:w="100"/>
              <w:left w:type="dxa" w:w="130"/>
              <w:bottom w:type="dxa" w:w="100"/>
              <w:right w:type="dxa" w:w="110"/>
            </w:tcMar>
            <w:vAlign w:val="top"/>
          </w:tcPr>
          <w:p>
            <w:pPr>
              <w:spacing w:after="0" w:before="0" w:line="276"/>
            </w:pPr>
            <w:r>
              <w:rPr>
                <w:rFonts w:ascii="Calibri" w:cs="Calibri" w:eastAsia="Calibri" w:hAnsi="Calibri"/>
                <w:b/>
                <w:bCs/>
                <w:color w:val="0D274D"/>
                <w:sz w:val="20"/>
                <w:szCs w:val="20"/>
              </w:rPr>
              <w:t xml:space="preserve">Case Study 1</w:t>
            </w:r>
          </w:p>
        </w:tc>
        <w:tc>
          <w:tcPr>
            <w:tcW w:type="dxa" w:w="1900"/>
            <w:tcBorders>
              <w:top w:val="single" w:color="E4EBF3" w:sz="4"/>
              <w:left w:val="none" w:color="FFFFFF" w:sz="0"/>
              <w:bottom w:val="none" w:color="FFFFFF" w:sz="0"/>
              <w:right w:val="none" w:color="FFFFFF" w:sz="0"/>
            </w:tcBorders>
            <w:tcMar>
              <w:top w:type="dxa" w:w="100"/>
              <w:left w:type="dxa" w:w="110"/>
              <w:bottom w:type="dxa" w:w="100"/>
              <w:right w:type="dxa" w:w="110"/>
            </w:tcMar>
            <w:vAlign w:val="top"/>
          </w:tcPr>
          <w:p>
            <w:pPr>
              <w:spacing w:after="0" w:before="0" w:line="276"/>
              <w:jc w:val="center"/>
            </w:pPr>
            <w:r>
              <w:rPr>
                <w:rFonts w:ascii="Calibri" w:cs="Calibri" w:eastAsia="Calibri" w:hAnsi="Calibri"/>
                <w:color w:val="9AA8BC"/>
                <w:sz w:val="20"/>
                <w:szCs w:val="20"/>
              </w:rPr>
              <w:t xml:space="preserve">________</w:t>
            </w:r>
          </w:p>
        </w:tc>
        <w:tc>
          <w:tcPr>
            <w:tcW w:type="dxa" w:w="4960"/>
            <w:tcBorders>
              <w:top w:val="single" w:color="E4EBF3" w:sz="4"/>
              <w:left w:val="none" w:color="FFFFFF" w:sz="0"/>
              <w:bottom w:val="none" w:color="FFFFFF" w:sz="0"/>
              <w:right w:val="none" w:color="FFFFFF" w:sz="0"/>
            </w:tcBorders>
            <w:tcMar>
              <w:top w:type="dxa" w:w="60"/>
              <w:left w:type="dxa" w:w="110"/>
              <w:bottom w:type="dxa" w:w="80"/>
              <w:right w:type="dxa" w:w="130"/>
            </w:tcMar>
            <w:vAlign w:val="top"/>
          </w:tcPr>
          <w:p>
            <w:pPr>
              <w:pBdr>
                <w:bottom w:val="single" w:color="C7D2DF" w:sz="6"/>
              </w:pBdr>
              <w:spacing w:after="0" w:before="140" w:line="276"/>
            </w:pPr>
            <w:r>
              <w:rPr>
                <w:rFonts w:ascii="Calibri" w:cs="Calibri" w:eastAsia="Calibri" w:hAnsi="Calibri"/>
                <w:color w:val="14263A"/>
                <w:sz w:val="2"/>
                <w:szCs w:val="2"/>
              </w:rPr>
              <w:t xml:space="preserve"/>
            </w:r>
          </w:p>
        </w:tc>
      </w:tr>
      <w:tr>
        <w:trPr>
          <w:trHeight w:val="680" w:hRule="atLeast"/>
        </w:trPr>
        <w:tc>
          <w:tcPr>
            <w:tcW w:type="dxa" w:w="2500"/>
            <w:tcBorders>
              <w:top w:val="single" w:color="E4EBF3" w:sz="4"/>
              <w:left w:val="none" w:color="FFFFFF" w:sz="0"/>
              <w:bottom w:val="none" w:color="FFFFFF" w:sz="0"/>
              <w:right w:val="none" w:color="FFFFFF" w:sz="0"/>
            </w:tcBorders>
            <w:tcMar>
              <w:top w:type="dxa" w:w="100"/>
              <w:left w:type="dxa" w:w="130"/>
              <w:bottom w:type="dxa" w:w="100"/>
              <w:right w:type="dxa" w:w="110"/>
            </w:tcMar>
            <w:vAlign w:val="top"/>
          </w:tcPr>
          <w:p>
            <w:pPr>
              <w:spacing w:after="0" w:before="0" w:line="276"/>
            </w:pPr>
            <w:r>
              <w:rPr>
                <w:rFonts w:ascii="Calibri" w:cs="Calibri" w:eastAsia="Calibri" w:hAnsi="Calibri"/>
                <w:b/>
                <w:bCs/>
                <w:color w:val="0D274D"/>
                <w:sz w:val="20"/>
                <w:szCs w:val="20"/>
              </w:rPr>
              <w:t xml:space="preserve">Case Study 2</w:t>
            </w:r>
          </w:p>
        </w:tc>
        <w:tc>
          <w:tcPr>
            <w:tcW w:type="dxa" w:w="1900"/>
            <w:tcBorders>
              <w:top w:val="single" w:color="E4EBF3" w:sz="4"/>
              <w:left w:val="none" w:color="FFFFFF" w:sz="0"/>
              <w:bottom w:val="none" w:color="FFFFFF" w:sz="0"/>
              <w:right w:val="none" w:color="FFFFFF" w:sz="0"/>
            </w:tcBorders>
            <w:tcMar>
              <w:top w:type="dxa" w:w="100"/>
              <w:left w:type="dxa" w:w="110"/>
              <w:bottom w:type="dxa" w:w="100"/>
              <w:right w:type="dxa" w:w="110"/>
            </w:tcMar>
            <w:vAlign w:val="top"/>
          </w:tcPr>
          <w:p>
            <w:pPr>
              <w:spacing w:after="0" w:before="0" w:line="276"/>
              <w:jc w:val="center"/>
            </w:pPr>
            <w:r>
              <w:rPr>
                <w:rFonts w:ascii="Calibri" w:cs="Calibri" w:eastAsia="Calibri" w:hAnsi="Calibri"/>
                <w:color w:val="9AA8BC"/>
                <w:sz w:val="20"/>
                <w:szCs w:val="20"/>
              </w:rPr>
              <w:t xml:space="preserve">________</w:t>
            </w:r>
          </w:p>
        </w:tc>
        <w:tc>
          <w:tcPr>
            <w:tcW w:type="dxa" w:w="4960"/>
            <w:tcBorders>
              <w:top w:val="single" w:color="E4EBF3" w:sz="4"/>
              <w:left w:val="none" w:color="FFFFFF" w:sz="0"/>
              <w:bottom w:val="none" w:color="FFFFFF" w:sz="0"/>
              <w:right w:val="none" w:color="FFFFFF" w:sz="0"/>
            </w:tcBorders>
            <w:tcMar>
              <w:top w:type="dxa" w:w="60"/>
              <w:left w:type="dxa" w:w="110"/>
              <w:bottom w:type="dxa" w:w="80"/>
              <w:right w:type="dxa" w:w="130"/>
            </w:tcMar>
            <w:vAlign w:val="top"/>
          </w:tcPr>
          <w:p>
            <w:pPr>
              <w:pBdr>
                <w:bottom w:val="single" w:color="C7D2DF" w:sz="6"/>
              </w:pBdr>
              <w:spacing w:after="0" w:before="140" w:line="276"/>
            </w:pPr>
            <w:r>
              <w:rPr>
                <w:rFonts w:ascii="Calibri" w:cs="Calibri" w:eastAsia="Calibri" w:hAnsi="Calibri"/>
                <w:color w:val="14263A"/>
                <w:sz w:val="2"/>
                <w:szCs w:val="2"/>
              </w:rPr>
              <w:t xml:space="preserve"/>
            </w:r>
          </w:p>
        </w:tc>
      </w:tr>
      <w:tr>
        <w:trPr>
          <w:trHeight w:val="680" w:hRule="atLeast"/>
        </w:trPr>
        <w:tc>
          <w:tcPr>
            <w:tcW w:type="dxa" w:w="2500"/>
            <w:tcBorders>
              <w:top w:val="single" w:color="E4EBF3" w:sz="4"/>
              <w:left w:val="none" w:color="FFFFFF" w:sz="0"/>
              <w:bottom w:val="none" w:color="FFFFFF" w:sz="0"/>
              <w:right w:val="none" w:color="FFFFFF" w:sz="0"/>
            </w:tcBorders>
            <w:tcMar>
              <w:top w:type="dxa" w:w="100"/>
              <w:left w:type="dxa" w:w="130"/>
              <w:bottom w:type="dxa" w:w="100"/>
              <w:right w:type="dxa" w:w="110"/>
            </w:tcMar>
            <w:vAlign w:val="top"/>
          </w:tcPr>
          <w:p>
            <w:pPr>
              <w:spacing w:after="0" w:before="0" w:line="276"/>
            </w:pPr>
            <w:r>
              <w:rPr>
                <w:rFonts w:ascii="Calibri" w:cs="Calibri" w:eastAsia="Calibri" w:hAnsi="Calibri"/>
                <w:b/>
                <w:bCs/>
                <w:color w:val="0D274D"/>
                <w:sz w:val="20"/>
                <w:szCs w:val="20"/>
              </w:rPr>
              <w:t xml:space="preserve">Case Study 3</w:t>
            </w:r>
          </w:p>
        </w:tc>
        <w:tc>
          <w:tcPr>
            <w:tcW w:type="dxa" w:w="1900"/>
            <w:tcBorders>
              <w:top w:val="single" w:color="E4EBF3" w:sz="4"/>
              <w:left w:val="none" w:color="FFFFFF" w:sz="0"/>
              <w:bottom w:val="none" w:color="FFFFFF" w:sz="0"/>
              <w:right w:val="none" w:color="FFFFFF" w:sz="0"/>
            </w:tcBorders>
            <w:tcMar>
              <w:top w:type="dxa" w:w="100"/>
              <w:left w:type="dxa" w:w="110"/>
              <w:bottom w:type="dxa" w:w="100"/>
              <w:right w:type="dxa" w:w="110"/>
            </w:tcMar>
            <w:vAlign w:val="top"/>
          </w:tcPr>
          <w:p>
            <w:pPr>
              <w:spacing w:after="0" w:before="0" w:line="276"/>
              <w:jc w:val="center"/>
            </w:pPr>
            <w:r>
              <w:rPr>
                <w:rFonts w:ascii="Calibri" w:cs="Calibri" w:eastAsia="Calibri" w:hAnsi="Calibri"/>
                <w:color w:val="9AA8BC"/>
                <w:sz w:val="20"/>
                <w:szCs w:val="20"/>
              </w:rPr>
              <w:t xml:space="preserve">________</w:t>
            </w:r>
          </w:p>
        </w:tc>
        <w:tc>
          <w:tcPr>
            <w:tcW w:type="dxa" w:w="4960"/>
            <w:tcBorders>
              <w:top w:val="single" w:color="E4EBF3" w:sz="4"/>
              <w:left w:val="none" w:color="FFFFFF" w:sz="0"/>
              <w:bottom w:val="none" w:color="FFFFFF" w:sz="0"/>
              <w:right w:val="none" w:color="FFFFFF" w:sz="0"/>
            </w:tcBorders>
            <w:tcMar>
              <w:top w:type="dxa" w:w="60"/>
              <w:left w:type="dxa" w:w="110"/>
              <w:bottom w:type="dxa" w:w="80"/>
              <w:right w:type="dxa" w:w="130"/>
            </w:tcMar>
            <w:vAlign w:val="top"/>
          </w:tcPr>
          <w:p>
            <w:pPr>
              <w:pBdr>
                <w:bottom w:val="single" w:color="C7D2DF" w:sz="6"/>
              </w:pBdr>
              <w:spacing w:after="0" w:before="140" w:line="276"/>
            </w:pPr>
            <w:r>
              <w:rPr>
                <w:rFonts w:ascii="Calibri" w:cs="Calibri" w:eastAsia="Calibri" w:hAnsi="Calibri"/>
                <w:color w:val="14263A"/>
                <w:sz w:val="2"/>
                <w:szCs w:val="2"/>
              </w:rPr>
              <w:t xml:space="preserve"/>
            </w:r>
          </w:p>
        </w:tc>
      </w:tr>
      <w:tr>
        <w:trPr>
          <w:trHeight w:val="680" w:hRule="atLeast"/>
        </w:trPr>
        <w:tc>
          <w:tcPr>
            <w:tcW w:type="dxa" w:w="2500"/>
            <w:tcBorders>
              <w:top w:val="single" w:color="E4EBF3" w:sz="4"/>
              <w:left w:val="none" w:color="FFFFFF" w:sz="0"/>
              <w:bottom w:val="none" w:color="FFFFFF" w:sz="0"/>
              <w:right w:val="none" w:color="FFFFFF" w:sz="0"/>
            </w:tcBorders>
            <w:tcMar>
              <w:top w:type="dxa" w:w="100"/>
              <w:left w:type="dxa" w:w="130"/>
              <w:bottom w:type="dxa" w:w="100"/>
              <w:right w:type="dxa" w:w="110"/>
            </w:tcMar>
            <w:vAlign w:val="top"/>
          </w:tcPr>
          <w:p>
            <w:pPr>
              <w:spacing w:after="0" w:before="0" w:line="276"/>
            </w:pPr>
            <w:r>
              <w:rPr>
                <w:rFonts w:ascii="Calibri" w:cs="Calibri" w:eastAsia="Calibri" w:hAnsi="Calibri"/>
                <w:b/>
                <w:bCs/>
                <w:color w:val="0D274D"/>
                <w:sz w:val="20"/>
                <w:szCs w:val="20"/>
              </w:rPr>
              <w:t xml:space="preserve">Case Study 4</w:t>
            </w:r>
          </w:p>
        </w:tc>
        <w:tc>
          <w:tcPr>
            <w:tcW w:type="dxa" w:w="1900"/>
            <w:tcBorders>
              <w:top w:val="single" w:color="E4EBF3" w:sz="4"/>
              <w:left w:val="none" w:color="FFFFFF" w:sz="0"/>
              <w:bottom w:val="none" w:color="FFFFFF" w:sz="0"/>
              <w:right w:val="none" w:color="FFFFFF" w:sz="0"/>
            </w:tcBorders>
            <w:tcMar>
              <w:top w:type="dxa" w:w="100"/>
              <w:left w:type="dxa" w:w="110"/>
              <w:bottom w:type="dxa" w:w="100"/>
              <w:right w:type="dxa" w:w="110"/>
            </w:tcMar>
            <w:vAlign w:val="top"/>
          </w:tcPr>
          <w:p>
            <w:pPr>
              <w:spacing w:after="0" w:before="0" w:line="276"/>
              <w:jc w:val="center"/>
            </w:pPr>
            <w:r>
              <w:rPr>
                <w:rFonts w:ascii="Calibri" w:cs="Calibri" w:eastAsia="Calibri" w:hAnsi="Calibri"/>
                <w:color w:val="9AA8BC"/>
                <w:sz w:val="20"/>
                <w:szCs w:val="20"/>
              </w:rPr>
              <w:t xml:space="preserve">________</w:t>
            </w:r>
          </w:p>
        </w:tc>
        <w:tc>
          <w:tcPr>
            <w:tcW w:type="dxa" w:w="4960"/>
            <w:tcBorders>
              <w:top w:val="single" w:color="E4EBF3" w:sz="4"/>
              <w:left w:val="none" w:color="FFFFFF" w:sz="0"/>
              <w:bottom w:val="none" w:color="FFFFFF" w:sz="0"/>
              <w:right w:val="none" w:color="FFFFFF" w:sz="0"/>
            </w:tcBorders>
            <w:tcMar>
              <w:top w:type="dxa" w:w="60"/>
              <w:left w:type="dxa" w:w="110"/>
              <w:bottom w:type="dxa" w:w="80"/>
              <w:right w:type="dxa" w:w="130"/>
            </w:tcMar>
            <w:vAlign w:val="top"/>
          </w:tcPr>
          <w:p>
            <w:pPr>
              <w:pBdr>
                <w:bottom w:val="single" w:color="C7D2DF" w:sz="6"/>
              </w:pBdr>
              <w:spacing w:after="0" w:before="140" w:line="276"/>
            </w:pPr>
            <w:r>
              <w:rPr>
                <w:rFonts w:ascii="Calibri" w:cs="Calibri" w:eastAsia="Calibri" w:hAnsi="Calibri"/>
                <w:color w:val="14263A"/>
                <w:sz w:val="2"/>
                <w:szCs w:val="2"/>
              </w:rPr>
              <w:t xml:space="preserve"/>
            </w:r>
          </w:p>
        </w:tc>
      </w:tr>
      <w:tr>
        <w:tc>
          <w:tcPr>
            <w:tcW w:type="dxa" w:w="2500"/>
            <w:tcBorders>
              <w:top w:val="single" w:color="C4D2E2" w:sz="10"/>
              <w:left w:val="none" w:color="FFFFFF" w:sz="0"/>
              <w:bottom w:val="none" w:color="FFFFFF" w:sz="0"/>
              <w:right w:val="none" w:color="FFFFFF" w:sz="0"/>
            </w:tcBorders>
            <w:shd w:fill="EAF1F8" w:color="auto" w:val="clear"/>
            <w:tcMar>
              <w:top w:type="dxa" w:w="100"/>
              <w:left w:type="dxa" w:w="130"/>
              <w:bottom w:type="dxa" w:w="100"/>
              <w:right w:type="dxa" w:w="110"/>
            </w:tcMar>
          </w:tcPr>
          <w:p>
            <w:pPr>
              <w:spacing w:after="0" w:before="0" w:line="276"/>
            </w:pPr>
            <w:r>
              <w:rPr>
                <w:rFonts w:ascii="Calibri" w:cs="Calibri" w:eastAsia="Calibri" w:hAnsi="Calibri"/>
                <w:b/>
                <w:bCs/>
                <w:color w:val="0D274D"/>
                <w:sz w:val="20"/>
                <w:szCs w:val="20"/>
              </w:rPr>
              <w:t xml:space="preserve">Overall total</w:t>
            </w:r>
          </w:p>
        </w:tc>
        <w:tc>
          <w:tcPr>
            <w:tcW w:type="dxa" w:w="1900"/>
            <w:tcBorders>
              <w:top w:val="single" w:color="C4D2E2" w:sz="10"/>
              <w:left w:val="none" w:color="FFFFFF" w:sz="0"/>
              <w:bottom w:val="none" w:color="FFFFFF" w:sz="0"/>
              <w:right w:val="none" w:color="FFFFFF" w:sz="0"/>
            </w:tcBorders>
            <w:shd w:fill="EAF1F8" w:color="auto" w:val="clear"/>
            <w:tcMar>
              <w:top w:type="dxa" w:w="100"/>
              <w:left w:type="dxa" w:w="110"/>
              <w:bottom w:type="dxa" w:w="100"/>
              <w:right w:type="dxa" w:w="110"/>
            </w:tcMar>
          </w:tcPr>
          <w:p>
            <w:pPr>
              <w:spacing w:after="0" w:before="0" w:line="276"/>
              <w:jc w:val="center"/>
            </w:pPr>
            <w:r>
              <w:rPr>
                <w:rFonts w:ascii="Calibri" w:cs="Calibri" w:eastAsia="Calibri" w:hAnsi="Calibri"/>
                <w:color w:val="9AA8BC"/>
                <w:sz w:val="20"/>
                <w:szCs w:val="20"/>
              </w:rPr>
              <w:t xml:space="preserve">________</w:t>
            </w:r>
            <w:r>
              <w:rPr>
                <w:rFonts w:ascii="Calibri" w:cs="Calibri" w:eastAsia="Calibri" w:hAnsi="Calibri"/>
                <w:b/>
                <w:bCs/>
                <w:color w:val="0D274D"/>
                <w:sz w:val="19"/>
                <w:szCs w:val="19"/>
              </w:rPr>
              <w:t xml:space="preserve"> / 400</w:t>
            </w:r>
          </w:p>
        </w:tc>
        <w:tc>
          <w:tcPr>
            <w:tcW w:type="dxa" w:w="4960"/>
            <w:tcBorders>
              <w:top w:val="single" w:color="C4D2E2" w:sz="10"/>
              <w:left w:val="none" w:color="FFFFFF" w:sz="0"/>
              <w:bottom w:val="none" w:color="FFFFFF" w:sz="0"/>
              <w:right w:val="none" w:color="FFFFFF" w:sz="0"/>
            </w:tcBorders>
            <w:shd w:fill="EAF1F8" w:color="auto" w:val="clear"/>
            <w:tcMar>
              <w:top w:type="dxa" w:w="100"/>
              <w:left w:type="dxa" w:w="110"/>
              <w:bottom w:type="dxa" w:w="100"/>
              <w:right w:type="dxa" w:w="130"/>
            </w:tcMar>
          </w:tcPr>
          <w:p>
            <w:pPr>
              <w:spacing w:after="0" w:before="0" w:line="276"/>
            </w:pPr>
            <w:r>
              <w:rPr>
                <w:rFonts w:ascii="Calibri" w:cs="Calibri" w:eastAsia="Calibri" w:hAnsi="Calibri"/>
                <w:color w:val="14263A"/>
                <w:sz w:val="2"/>
                <w:szCs w:val="2"/>
              </w:rPr>
              <w:t xml:space="preserve"/>
            </w:r>
          </w:p>
        </w:tc>
      </w:tr>
    </w:tbl>
    <w:p>
      <w:pPr>
        <w:spacing w:after="1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C9DD" w:sz="6"/>
              <w:left w:val="single" w:color="9FC9DD" w:sz="6"/>
              <w:bottom w:val="single" w:color="9FC9DD" w:sz="6"/>
              <w:right w:val="single" w:color="9FC9DD" w:sz="6"/>
            </w:tcBorders>
            <w:shd w:fill="F7FCFE" w:color="auto" w:val="clear"/>
            <w:tcMar>
              <w:top w:type="dxa" w:w="110"/>
              <w:left w:type="dxa" w:w="160"/>
              <w:bottom w:type="dxa" w:w="110"/>
              <w:right w:type="dxa" w:w="160"/>
            </w:tcMar>
            <w:vAlign w:val="top"/>
          </w:tcPr>
          <w:p>
            <w:pPr>
              <w:spacing w:after="60" w:before="0" w:line="276"/>
            </w:pPr>
            <w:r>
              <w:rPr>
                <w:rFonts w:ascii="Calibri" w:cs="Calibri" w:eastAsia="Calibri" w:hAnsi="Calibri"/>
                <w:b/>
                <w:bCs/>
                <w:color w:val="0D274D"/>
                <w:sz w:val="19"/>
                <w:szCs w:val="19"/>
              </w:rPr>
              <w:t xml:space="preserve">Topology diagram: SME review.  </w:t>
            </w:r>
            <w:r>
              <w:rPr>
                <w:rFonts w:ascii="Calibri" w:cs="Calibri" w:eastAsia="Calibri" w:hAnsi="Calibri"/>
                <w:color w:val="33465F"/>
                <w:sz w:val="19"/>
                <w:szCs w:val="19"/>
              </w:rPr>
              <w:t xml:space="preserve">The team's Hybrid Mesh Firewall diagram is submitted for Subject Matter Expert review and is not part of the score.    Reviewed by SME:  Yes </w:t>
            </w:r>
            <w:r>
              <w:rPr>
                <w:rFonts w:ascii="Calibri" w:cs="Calibri" w:eastAsia="Calibri" w:hAnsi="Calibri"/>
                <w:color w:val="14263A"/>
                <w:sz w:val="20"/>
                <w:szCs w:val="20"/>
              </w:rPr>
              <w:t xml:space="preserve">☐</w:t>
            </w:r>
            <w:r>
              <w:rPr>
                <w:rFonts w:ascii="Calibri" w:cs="Calibri" w:eastAsia="Calibri" w:hAnsi="Calibri"/>
                <w:color w:val="33465F"/>
                <w:sz w:val="19"/>
                <w:szCs w:val="19"/>
              </w:rPr>
              <w:t xml:space="preserve">   No </w:t>
            </w:r>
            <w:r>
              <w:rPr>
                <w:rFonts w:ascii="Calibri" w:cs="Calibri" w:eastAsia="Calibri" w:hAnsi="Calibri"/>
                <w:color w:val="14263A"/>
                <w:sz w:val="20"/>
                <w:szCs w:val="20"/>
              </w:rPr>
              <w:t xml:space="preserve">☐</w:t>
            </w:r>
          </w:p>
          <w:p>
            <w:pPr>
              <w:spacing w:after="0" w:before="0" w:line="276"/>
            </w:pPr>
            <w:r>
              <w:rPr>
                <w:rFonts w:ascii="Calibri" w:cs="Calibri" w:eastAsia="Calibri" w:hAnsi="Calibri"/>
                <w:color w:val="14263A"/>
                <w:sz w:val="2"/>
                <w:szCs w:val="2"/>
              </w:rPr>
              <w:t xml:space="preserve"/>
            </w:r>
          </w:p>
        </w:tc>
      </w:tr>
    </w:tbl>
    <w:p>
      <w:pPr>
        <w:spacing w:after="6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100" w:hRule="atLeast"/>
        </w:trPr>
        <w:tc>
          <w:tcPr>
            <w:tcW w:type="dxa" w:w="9360"/>
            <w:tcBorders>
              <w:top w:val="single" w:color="E1E8F1" w:sz="6"/>
              <w:left w:val="single" w:color="E1E8F1" w:sz="6"/>
              <w:bottom w:val="single" w:color="E1E8F1" w:sz="6"/>
              <w:right w:val="single" w:color="E1E8F1" w:sz="6"/>
            </w:tcBorders>
            <w:shd w:fill="F7F9FC" w:color="auto" w:val="clear"/>
            <w:tcMar>
              <w:top w:type="dxa" w:w="110"/>
              <w:left w:type="dxa" w:w="160"/>
              <w:bottom w:type="dxa" w:w="110"/>
              <w:right w:type="dxa" w:w="160"/>
            </w:tcMar>
            <w:vAlign w:val="top"/>
          </w:tcPr>
          <w:p>
            <w:pPr>
              <w:spacing w:after="60" w:before="0" w:line="276"/>
            </w:pPr>
            <w:r>
              <w:rPr>
                <w:rFonts w:ascii="Calibri" w:cs="Calibri" w:eastAsia="Calibri" w:hAnsi="Calibri"/>
                <w:b/>
                <w:bCs/>
                <w:color w:val="0D274D"/>
                <w:sz w:val="18"/>
                <w:szCs w:val="18"/>
              </w:rPr>
              <w:t xml:space="preserve">What the team did well</w:t>
            </w:r>
          </w:p>
          <w:p>
            <w:pPr>
              <w:spacing w:after="0" w:before="0" w:line="276"/>
            </w:pPr>
            <w:r>
              <w:rPr>
                <w:rFonts w:ascii="Calibri" w:cs="Calibri" w:eastAsia="Calibri" w:hAnsi="Calibri"/>
                <w:color w:val="14263A"/>
                <w:sz w:val="2"/>
                <w:szCs w:val="2"/>
              </w:rPr>
              <w:t xml:space="preserve"/>
            </w:r>
          </w:p>
          <w:p>
            <w:pPr>
              <w:spacing w:after="0" w:before="0" w:line="276"/>
            </w:pPr>
            <w:r>
              <w:rPr>
                <w:rFonts w:ascii="Calibri" w:cs="Calibri" w:eastAsia="Calibri" w:hAnsi="Calibri"/>
                <w:color w:val="14263A"/>
                <w:sz w:val="2"/>
                <w:szCs w:val="2"/>
              </w:rPr>
              <w:t xml:space="preserve"/>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100" w:hRule="atLeast"/>
        </w:trPr>
        <w:tc>
          <w:tcPr>
            <w:tcW w:type="dxa" w:w="9360"/>
            <w:tcBorders>
              <w:top w:val="single" w:color="E1E8F1" w:sz="6"/>
              <w:left w:val="single" w:color="E1E8F1" w:sz="6"/>
              <w:bottom w:val="single" w:color="E1E8F1" w:sz="6"/>
              <w:right w:val="single" w:color="E1E8F1" w:sz="6"/>
            </w:tcBorders>
            <w:shd w:fill="F7F9FC" w:color="auto" w:val="clear"/>
            <w:tcMar>
              <w:top w:type="dxa" w:w="110"/>
              <w:left w:type="dxa" w:w="160"/>
              <w:bottom w:type="dxa" w:w="110"/>
              <w:right w:type="dxa" w:w="160"/>
            </w:tcMar>
            <w:vAlign w:val="top"/>
          </w:tcPr>
          <w:p>
            <w:pPr>
              <w:spacing w:after="60" w:before="0" w:line="276"/>
            </w:pPr>
            <w:r>
              <w:rPr>
                <w:rFonts w:ascii="Calibri" w:cs="Calibri" w:eastAsia="Calibri" w:hAnsi="Calibri"/>
                <w:b/>
                <w:bCs/>
                <w:color w:val="0D274D"/>
                <w:sz w:val="18"/>
                <w:szCs w:val="18"/>
              </w:rPr>
              <w:t xml:space="preserve">Where they can learn and grow</w:t>
            </w:r>
          </w:p>
          <w:p>
            <w:pPr>
              <w:spacing w:after="0" w:before="0" w:line="276"/>
            </w:pPr>
            <w:r>
              <w:rPr>
                <w:rFonts w:ascii="Calibri" w:cs="Calibri" w:eastAsia="Calibri" w:hAnsi="Calibri"/>
                <w:color w:val="14263A"/>
                <w:sz w:val="2"/>
                <w:szCs w:val="2"/>
              </w:rPr>
              <w:t xml:space="preserve"/>
            </w:r>
          </w:p>
          <w:p>
            <w:pPr>
              <w:spacing w:after="0" w:before="0" w:line="276"/>
            </w:pPr>
            <w:r>
              <w:rPr>
                <w:rFonts w:ascii="Calibri" w:cs="Calibri" w:eastAsia="Calibri" w:hAnsi="Calibri"/>
                <w:color w:val="14263A"/>
                <w:sz w:val="2"/>
                <w:szCs w:val="2"/>
              </w:rP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8091A4"/>
        <w:sz w:val="15"/>
        <w:szCs w:val="15"/>
      </w:rPr>
      <w:t xml:space="preserve">HMF Design Clinic  ·  Page </w:t>
    </w:r>
    <w:r>
      <w:rPr>
        <w:rFonts w:ascii="Calibri" w:cs="Calibri" w:eastAsia="Calibri" w:hAnsi="Calibri"/>
        <w:color w:val="8091A4"/>
        <w:sz w:val="15"/>
        <w:szCs w:val="15"/>
      </w:rPr>
      <w:fldChar w:fldCharType="begin"/>
      <w:instrText xml:space="preserve">PAGE</w:instrText>
      <w:fldChar w:fldCharType="separate"/>
      <w:fldChar w:fldCharType="end"/>
    </w:r>
    <w:r>
      <w:rPr>
        <w:rFonts w:ascii="Calibri" w:cs="Calibri" w:eastAsia="Calibri" w:hAnsi="Calibri"/>
        <w:color w:val="8091A4"/>
        <w:sz w:val="15"/>
        <w:szCs w:val="15"/>
      </w:rPr>
      <w:t xml:space="preserve"> of </w:t>
    </w:r>
    <w:r>
      <w:rPr>
        <w:rFonts w:ascii="Calibri" w:cs="Calibri" w:eastAsia="Calibri" w:hAnsi="Calibri"/>
        <w:color w:val="8091A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2026-08-03T21:25:27.013Z</dcterms:created>
  <dcterms:modified xsi:type="dcterms:W3CDTF">2026-08-03T21:25:27.013Z</dcterms:modified>
</cp:coreProperties>
</file>

<file path=docProps/custom.xml><?xml version="1.0" encoding="utf-8"?>
<Properties xmlns="http://schemas.openxmlformats.org/officeDocument/2006/custom-properties" xmlns:vt="http://schemas.openxmlformats.org/officeDocument/2006/docPropsVTypes"/>
</file>