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2"/>
          <w:szCs w:val="42"/>
        </w:rPr>
        <w:t xml:space="preserve">Solution Guide</w:t>
      </w:r>
    </w:p>
    <w:p>
      <w:pPr>
        <w:spacing w:after="140" w:before="0" w:line="276"/>
      </w:pPr>
      <w:r>
        <w:rPr>
          <w:rFonts w:ascii="Calibri" w:cs="Calibri" w:eastAsia="Calibri" w:hAnsi="Calibri"/>
          <w:color w:val="3A4C63"/>
          <w:sz w:val="24"/>
          <w:szCs w:val="24"/>
        </w:rPr>
        <w:t xml:space="preserve">Reference answers and the Good, Better, Best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the fitting Cisco solution, how a strong Solution Engineer explains it, the outcome it delivers, and what Good, Better and Best sound like, so you can recognise and coach each level.</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customer.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Good, Better, Best: a growth ladder, not a grade</w:t>
      </w:r>
    </w:p>
    <w:p>
      <w:pPr>
        <w:spacing w:after="100" w:before="0" w:line="276"/>
      </w:pPr>
      <w:r>
        <w:rPr>
          <w:rFonts w:ascii="Calibri" w:cs="Calibri" w:eastAsia="Calibri" w:hAnsi="Calibri"/>
          <w:color w:val="3A4C63"/>
          <w:sz w:val="21"/>
          <w:szCs w:val="21"/>
        </w:rPr>
        <w:t xml:space="preserve">We evaluate qualitatively. There are no points. Each answer sits on a ladder, and your job is to recognise where it lands and nudge it upward. Every level is a win worth naming.</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2E9E6B"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237A51"/>
                <w:sz w:val="24"/>
                <w:szCs w:val="24"/>
              </w:rPr>
              <w:t xml:space="preserve">🌱 Good</w:t>
            </w:r>
          </w:p>
          <w:p>
            <w:pPr>
              <w:spacing w:after="60" w:before="0" w:line="276"/>
            </w:pPr>
            <w:r>
              <w:rPr>
                <w:rFonts w:ascii="Calibri" w:cs="Calibri" w:eastAsia="Calibri" w:hAnsi="Calibri"/>
                <w:b/>
                <w:bCs/>
                <w:caps/>
                <w:color w:val="7E8CA1"/>
                <w:sz w:val="15"/>
                <w:szCs w:val="15"/>
              </w:rPr>
              <w:t xml:space="preserve">Names the fit</w:t>
            </w:r>
          </w:p>
          <w:p>
            <w:pPr>
              <w:spacing w:after="0" w:before="0" w:line="276"/>
            </w:pPr>
            <w:r>
              <w:rPr>
                <w:rFonts w:ascii="Calibri" w:cs="Calibri" w:eastAsia="Calibri" w:hAnsi="Calibri"/>
                <w:color w:val="33465F"/>
                <w:sz w:val="18"/>
                <w:szCs w:val="18"/>
              </w:rPr>
              <w:t xml:space="preserve">You put the right Cisco solution on the table and show that you understand what the customer is actually worried about.</w:t>
            </w:r>
          </w:p>
        </w:tc>
        <w:tc>
          <w:tcPr>
            <w:tcW w:type="dxa" w:w="3120"/>
            <w:tcBorders>
              <w:top w:val="single" w:color="1273B8"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0F5E96"/>
                <w:sz w:val="24"/>
                <w:szCs w:val="24"/>
              </w:rPr>
              <w:t xml:space="preserve">🔷 Better</w:t>
            </w:r>
          </w:p>
          <w:p>
            <w:pPr>
              <w:spacing w:after="60" w:before="0" w:line="276"/>
            </w:pPr>
            <w:r>
              <w:rPr>
                <w:rFonts w:ascii="Calibri" w:cs="Calibri" w:eastAsia="Calibri" w:hAnsi="Calibri"/>
                <w:b/>
                <w:bCs/>
                <w:caps/>
                <w:color w:val="7E8CA1"/>
                <w:sz w:val="15"/>
                <w:szCs w:val="15"/>
              </w:rPr>
              <w:t xml:space="preserve">Explains the how</w:t>
            </w:r>
          </w:p>
          <w:p>
            <w:pPr>
              <w:spacing w:after="0" w:before="0" w:line="276"/>
            </w:pPr>
            <w:r>
              <w:rPr>
                <w:rFonts w:ascii="Calibri" w:cs="Calibri" w:eastAsia="Calibri" w:hAnsi="Calibri"/>
                <w:color w:val="33465F"/>
                <w:sz w:val="18"/>
                <w:szCs w:val="18"/>
              </w:rPr>
              <w:t xml:space="preserve">You connect that solution to the concern, showing how it works and why it answers this specific problem, in language the customer would nod along to.</w:t>
            </w:r>
          </w:p>
        </w:tc>
        <w:tc>
          <w:tcPr>
            <w:tcW w:type="dxa" w:w="3120"/>
            <w:tcBorders>
              <w:top w:val="single" w:color="B7791F" w:sz="40"/>
              <w:left w:val="single" w:color="C4D2E2" w:sz="6"/>
              <w:bottom w:val="single" w:color="C4D2E2" w:sz="6"/>
              <w:right w:val="single" w:color="C4D2E2" w:sz="6"/>
            </w:tcBorders>
            <w:tcMar>
              <w:top w:type="dxa" w:w="120"/>
              <w:left w:type="dxa" w:w="150"/>
              <w:bottom w:type="dxa" w:w="120"/>
              <w:right w:type="dxa" w:w="150"/>
            </w:tcMar>
            <w:vAlign w:val="top"/>
          </w:tcPr>
          <w:p>
            <w:pPr>
              <w:spacing w:after="20" w:before="0" w:line="276"/>
            </w:pPr>
            <w:r>
              <w:rPr>
                <w:rFonts w:ascii="Calibri" w:cs="Calibri" w:eastAsia="Calibri" w:hAnsi="Calibri"/>
                <w:b/>
                <w:bCs/>
                <w:color w:val="9A6516"/>
                <w:sz w:val="24"/>
                <w:szCs w:val="24"/>
              </w:rPr>
              <w:t xml:space="preserve">⭐ Best</w:t>
            </w:r>
          </w:p>
          <w:p>
            <w:pPr>
              <w:spacing w:after="60" w:before="0" w:line="276"/>
            </w:pPr>
            <w:r>
              <w:rPr>
                <w:rFonts w:ascii="Calibri" w:cs="Calibri" w:eastAsia="Calibri" w:hAnsi="Calibri"/>
                <w:b/>
                <w:bCs/>
                <w:caps/>
                <w:color w:val="7E8CA1"/>
                <w:sz w:val="15"/>
                <w:szCs w:val="15"/>
              </w:rPr>
              <w:t xml:space="preserve">Sells the outcome</w:t>
            </w:r>
          </w:p>
          <w:p>
            <w:pPr>
              <w:spacing w:after="0" w:before="0" w:line="276"/>
            </w:pPr>
            <w:r>
              <w:rPr>
                <w:rFonts w:ascii="Calibri" w:cs="Calibri" w:eastAsia="Calibri" w:hAnsi="Calibri"/>
                <w:color w:val="33465F"/>
                <w:sz w:val="18"/>
                <w:szCs w:val="18"/>
              </w:rPr>
              <w:t xml:space="preserve">You tie it to Cedarline's real constraints and the business outcome they care about, and you place it inside the bigger Hybrid Mesh Firewall story.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Coach toward the outcome.  </w:t>
            </w:r>
            <w:r>
              <w:rPr>
                <w:rFonts w:ascii="Calibri" w:cs="Calibri" w:eastAsia="Calibri" w:hAnsi="Calibri"/>
                <w:color w:val="33465F"/>
                <w:sz w:val="20"/>
                <w:szCs w:val="20"/>
              </w:rPr>
              <w:t xml:space="preserve">When an answer names the right product but stops there, affirm the fit, then ask for the one sentence about Cedarline's constraints and the business result that would move it up the ladder.</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 · reference</w:t>
      </w:r>
    </w:p>
    <w:p>
      <w:pPr>
        <w:spacing w:after="60" w:before="0" w:line="276"/>
      </w:pPr>
      <w:r>
        <w:rPr>
          <w:rFonts w:ascii="Calibri" w:cs="Calibri" w:eastAsia="Calibri" w:hAnsi="Calibri"/>
          <w:b/>
          <w:bCs/>
          <w:color w:val="0D274D"/>
          <w:sz w:val="42"/>
          <w:szCs w:val="42"/>
        </w:rPr>
        <w:t xml:space="preserve">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AI Defense · AI Model and Application Validation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By documenting these validation results and maintaining continuous runtime protection, you create a defensible, auditable framework.</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AI Defense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AI Defense is specifically designed to support Provider obligations under the EU AI Act. We utilize algorithmic red teaming technology for AI Model &amp; App Validation, which identifies safety and security vulnerabilities at scale.</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AI Defense · Supply Chain Risk Management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By integrating this into your CI/CD pipeline, we can block compromised AI assets before they are deployed, ensuring that your operational environment remains secure from the start.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AI Defense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AI Defense addresses this through proactive Supply Chain Risk Management. We scan your model files, repositories, and MCP servers to identify malicious or unsafe assets.</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It enables "Shift-Left" security by creating an inventory of all AI models and agents. By identifying vulnerabilities before production, it prevents the introduction of malicious code or poisoned data into your ecosystem.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AI Defense, AI Cloud Visibility · Ai Cloud Visibility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Instead of relying on teams to manually identify what exists, you get a centralized view of your AI attack surface so you can find unsanctioned assets, assess whether they are protected, and bring them under policy.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dentifies rogue or unsanctioned AI assets Maps relationships across data, models, agents, and tools Gives security teams a single-pane-of-glass view of AI exposure Helps close gaps before unknown AI usage becomes a production risk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AI Defense, AI Cloud Visibility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exactly the visibility gap Cisco AI Defense is built to solve. With AI Cloud Visibility, Cisco AI Defense continuously discovers AI assets across distributed cloud environments, including models, agents, datasets, MCP servers, and agent-to-tool workflows.</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dentifies rogue or unsanctioned AI assets Maps relationships across data, models, agents, and tools Gives security teams a single-pane-of-glass view of AI exposure Helps close gaps before unknown AI usage becomes a production risk.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AI Defense = AI visibility and guardrail integration
Multicloud Defense = cloud account connection, traffic visibility, policy attachment, and egress enforcement · AI Runtime Protection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exactly what the AI Defense-Multicloud Defense integration is designed to address. Cisco AI Defense uses the integration to discover AI assets in your cloud environments and identify external AI destinations your workloads are calling. Then Cisco Multicloud Defense provides the cloud account connectivity, traffic visibility, and egress gateway enforcement point where AI Guardrails Profiles can be applied. In practice, that means you get AI asset visibility plus runtime inspection of prompt and response traffic at the cloud egress layer. AI Defense gives you the AI-specific visibility and guardrail logic, while Multicloud Defense gives you the cloud-network integration and enforcement point.</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Finds AI assets in cloud accounts Identifies third-party AI model usage Uses existing cloud-network control points for enforcement Avoids relying only on application-level changes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AI Defense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exactly what the AI Defense-Multicloud Defense integration is designed to address. Cisco AI Defense uses the integration to discover AI assets in your cloud environments and identify external AI destinations your workloads are calling.</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Finds AI assets in cloud accounts Identifies third-party AI model usage Uses existing cloud-network control points for enforcement Avoids relying only on application-level changes.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 · reference</w:t>
      </w:r>
    </w:p>
    <w:p>
      <w:pPr>
        <w:spacing w:after="60" w:before="0" w:line="276"/>
      </w:pPr>
      <w:r>
        <w:rPr>
          <w:rFonts w:ascii="Calibri" w:cs="Calibri" w:eastAsia="Calibri" w:hAnsi="Calibri"/>
          <w:b/>
          <w:bCs/>
          <w:color w:val="0D274D"/>
          <w:sz w:val="42"/>
          <w:szCs w:val="42"/>
        </w:rPr>
        <w:t xml:space="preserve">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Multicloud Defense · Multicloud Defense Gateways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Multicloud Defense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It provides granular visibility and control over east-west traffic. By applying Zero Trust principles across the hybrid fabric, you transform your network into a series of secure, isolated zones that prevent an attacker from pivoting through your infrastructure.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Multicloud Defense · Multicloud Defense Visibility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Multicloud Defense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It automates the collection of evidence for security audits. By consolidating logs and policy enforcement data, you create a "single source of truth" that simplifies compliance reporting and demonstrates proactive governance to regulators.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Multicloud Defense · Unified Security across public clouds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Multicloud Defense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It replaces siloed, manual configuration with centralized orchestration. By abstracting the security policy from the cloud-native tools, it ensures that your security posture is uniform and eliminates the "configuration drift" that occurs when managing multiple cloud consoles.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Secure Workload
Cisco Secure Firewall
Cisco Secure Firewall Management Center (FMC)
Cisco Security Cloud Control · Secure Workload Integration with Secure Firewall Management Center</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Cisco Secure Firewall then enforces broader segmentation boundaries at the network layer.</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Reduces policy drift across hybrid and multicloud environments Aligns policy to application behavior, not just static IP-based rules Supports consistent macro and micro controls together</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Secure Workload Cisco Secure Firewal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a common hybrid environment challenge. Cisco Secure Workload helps create a more unified segmentation model by using application dependency awareness and AI/ML-driven policy discovery to define policy based on how workloads actually communicate.</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Reduces policy drift across hybrid and multicloud environments Aligns policy to application behavior, not just static IP-based rules Supports consistent macro and micro controls together.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 · reference</w:t>
      </w:r>
    </w:p>
    <w:p>
      <w:pPr>
        <w:spacing w:after="60" w:before="0" w:line="276"/>
      </w:pPr>
      <w:r>
        <w:rPr>
          <w:rFonts w:ascii="Calibri" w:cs="Calibri" w:eastAsia="Calibri" w:hAnsi="Calibri"/>
          <w:b/>
          <w:bCs/>
          <w:color w:val="0D274D"/>
          <w:sz w:val="42"/>
          <w:szCs w:val="42"/>
        </w:rPr>
        <w:t xml:space="preserve">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ISE · Security Group Tags (pxGrid integration)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ISE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ISE integrates with your security ecosystem via pxGrid and Adaptive Network Control (ANC). When a threat is detected, ISE can automatically trigger a quarantine policy, isolating the compromised device in real-time without requiring manual intervention.</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It automates the "Response" phase of the incident lifecycle. By bridging the gap between detection and enforcement, it stops threats at the speed of the network.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Security Cloud Control, FMC, FTD · Unified Policy Administration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Reduces manual policy review; identifies redundant/stale rules; lowers risk from human error.</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Security Cloud Control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Cisco applies AI-driven analysis to firewall telemetry and policy data to surface optimization opportunities, reduce manual troubleshooting, and guide cleaner policy administration.</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Reduces manual policy review; identifies redundant/stale rules; lowers risk from human error.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Secure Firewall (FTD), FMC, Security Cloud Control · EVE</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Restores visibility into encrypted blind spots; avoids the performance/privacy overhead of decrypt-everything strategies.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Secure Firewall (FTD)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Encrypted Visibility Engine (EVE) uses AI/ML-based fingerprinting to analyze encrypted traffic patterns and identify suspicious behavior without decrypting the payload.</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Restores visibility into encrypted blind spots; avoids the performance/privacy overhead of decrypt-everything strategies.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Secure Firewall (FTD), FMC, Security Cloud Control · Snort ML</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Addresses the gap between known and unknown threat detection; reduces dependence on signature timing.</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Secure Firewall (FTD)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exactly where Snort ML helps. It adds machine-learning-based detection inside the Snort 3 engine to identify exploit behavior associated with unknown/zero-day threats.</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Addresses the gap between known and unknown threat detection; reduces dependence on signature timing.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 · reference</w:t>
      </w:r>
    </w:p>
    <w:p>
      <w:pPr>
        <w:spacing w:after="60" w:before="0" w:line="276"/>
      </w:pPr>
      <w:r>
        <w:rPr>
          <w:rFonts w:ascii="Calibri" w:cs="Calibri" w:eastAsia="Calibri" w:hAnsi="Calibri"/>
          <w:b/>
          <w:bCs/>
          <w:color w:val="0D274D"/>
          <w:sz w:val="42"/>
          <w:szCs w:val="42"/>
        </w:rPr>
        <w:t xml:space="preserve">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Isovalent · Tetragon Runtime Security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where Tetragon comes in. Tetragon extends the value of Cilium by providing eBPF-based runtime security and threat detection. It monitors system-level activity and network behavior in real time, so you can detect suspicious actions, investigate runtime events, and enforce security policy closer to the workload. In other words, Cilium helps control connectivity and segmentation, while Tetragon helps you understand and secure runtime behavior.</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Adds runtime visibility beyond basic network controls Detects suspicious system and network behavior in real time Strengthens Kubernetes security with deeper workload-level insight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Isovalent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where Tetragon comes in. Tetragon extends the value of Cilium by providing eBPF-based runtime security and threat detection.</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Adds runtime visibility beyond basic network controls Detects suspicious system and network behavior in real time Strengthens Kubernetes security with deeper workload-level insight.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Not specified · Cilium Networking Policies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Instead of relying on older, IP-centric approaches that struggle in dynamic Kubernetes environments, Cilium enables more scalable and identity-aware networking designed for cloud-native workloads.</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Replaces brittle, IP-centric networking models with a Kubernetes-native approach Improves consistency across dynamic cluster environments Reduces operational complexity with a more unified networking and policy layer</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the fitting Cisco solution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exactly where Isovalent Cilium helps. Cilium provides a modern, eBPF-based Kubernetes networking layer that gives you consistent connectivity, policy enforcement, and visibility across clusters and environments.</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Replaces brittle, IP-centric networking models with a Kubernetes-native approach Improves consistency across dynamic cluster environments Reduces operational complexity with a more unified networking and policy layer.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cilium and tetragon</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This helps reduce tool sprawl and gives platform and security teams a more integrated operating model.</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Consolidates multiple functions into one platform approach Reduces tool sprawl and operational friction Improves context sharing between networking, security, and operations teams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cilium and tetragon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exactly the consolidation opportunity Isovalent addresses. With Cilium for networking and policy, and Tetragon for runtime security, you get a more unified platform for connectivity, segmentation, observability, and security.</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Consolidates multiple functions into one platform approach Reduces tool sprawl and operational friction Improves context sharing between networking, security, and operations teams. It also positions the solution within the wider Hybrid Mesh Firewall design.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0BCEB"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182"/>
        <w:gridCol w:w="6178"/>
      </w:tblGrid>
      <w:tr>
        <w:tc>
          <w:tcPr>
            <w:tcW w:type="dxa" w:w="3182"/>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Fitting solution</w:t>
            </w:r>
          </w:p>
        </w:tc>
        <w:tc>
          <w:tcPr>
            <w:tcW w:type="dxa" w:w="6178"/>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 Secure Workload
Cisco Secure Firewall · Application dependency mapping</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How a strong SE explains it</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That visibility helps you build segmentation policy with much more confidence, reduce guesswork, and move toward microsegmentation in a controlled way.</w:t>
            </w:r>
          </w:p>
        </w:tc>
      </w:tr>
      <w:tr>
        <w:tc>
          <w:tcPr>
            <w:tcW w:type="dxa" w:w="3182"/>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The outcome it delivers</w:t>
            </w:r>
          </w:p>
        </w:tc>
        <w:tc>
          <w:tcPr>
            <w:tcW w:type="dxa" w:w="6178"/>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Reveals actual application communication paths Reduces the risk of segmentation causing outages Enables more precise policy design and staged enforcement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500"/>
        <w:gridCol w:w="7860"/>
      </w:tblGrid>
      <w:tr>
        <w:tc>
          <w:tcPr>
            <w:tcW w:type="dxa" w:w="1500"/>
            <w:tcBorders>
              <w:top w:val="none" w:color="FFFFFF" w:sz="0"/>
              <w:left w:val="none" w:color="FFFFFF" w:sz="0"/>
              <w:bottom w:val="none" w:color="FFFFFF" w:sz="0"/>
              <w:right w:val="none" w:color="FFFFFF" w:sz="0"/>
            </w:tcBorders>
            <w:shd w:fill="E6F5EE" w:color="auto" w:val="clear"/>
            <w:tcMar>
              <w:top w:type="dxa" w:w="80"/>
              <w:left w:type="dxa" w:w="140"/>
              <w:bottom w:type="dxa" w:w="80"/>
              <w:right w:type="dxa" w:w="100"/>
            </w:tcMar>
          </w:tcPr>
          <w:p>
            <w:pPr>
              <w:spacing w:after="6" w:before="0" w:line="276"/>
            </w:pPr>
            <w:r>
              <w:rPr>
                <w:rFonts w:ascii="Calibri" w:cs="Calibri" w:eastAsia="Calibri" w:hAnsi="Calibri"/>
                <w:b/>
                <w:bCs/>
                <w:color w:val="237A51"/>
                <w:sz w:val="18"/>
                <w:szCs w:val="18"/>
              </w:rPr>
              <w:t xml:space="preserve">🌱 Good</w:t>
            </w:r>
          </w:p>
          <w:p>
            <w:pPr>
              <w:spacing w:after="0" w:before="0" w:line="276"/>
            </w:pPr>
            <w:r>
              <w:rPr>
                <w:rFonts w:ascii="Calibri" w:cs="Calibri" w:eastAsia="Calibri" w:hAnsi="Calibri"/>
                <w:caps/>
                <w:color w:val="7E8CA1"/>
                <w:sz w:val="13"/>
                <w:szCs w:val="13"/>
              </w:rPr>
              <w:t xml:space="preserve">Names the fit</w:t>
            </w:r>
          </w:p>
        </w:tc>
        <w:tc>
          <w:tcPr>
            <w:tcW w:type="dxa" w:w="78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Names Cisco Secure Workload Cisco Secure Firewall and clearly understands the concern. The right tool is on the table.</w:t>
            </w:r>
          </w:p>
        </w:tc>
      </w:tr>
      <w:tr>
        <w:tc>
          <w:tcPr>
            <w:tcW w:type="dxa" w:w="1500"/>
            <w:tcBorders>
              <w:top w:val="single" w:color="EEF2F7" w:sz="4"/>
              <w:left w:val="none" w:color="FFFFFF" w:sz="0"/>
              <w:bottom w:val="none" w:color="FFFFFF" w:sz="0"/>
              <w:right w:val="none" w:color="FFFFFF" w:sz="0"/>
            </w:tcBorders>
            <w:shd w:fill="E1F0FA" w:color="auto" w:val="clear"/>
            <w:tcMar>
              <w:top w:type="dxa" w:w="80"/>
              <w:left w:type="dxa" w:w="140"/>
              <w:bottom w:type="dxa" w:w="80"/>
              <w:right w:type="dxa" w:w="100"/>
            </w:tcMar>
          </w:tcPr>
          <w:p>
            <w:pPr>
              <w:spacing w:after="6" w:before="0" w:line="276"/>
            </w:pPr>
            <w:r>
              <w:rPr>
                <w:rFonts w:ascii="Calibri" w:cs="Calibri" w:eastAsia="Calibri" w:hAnsi="Calibri"/>
                <w:b/>
                <w:bCs/>
                <w:color w:val="0F5E96"/>
                <w:sz w:val="18"/>
                <w:szCs w:val="18"/>
              </w:rPr>
              <w:t xml:space="preserve">🔷 Better</w:t>
            </w:r>
          </w:p>
          <w:p>
            <w:pPr>
              <w:spacing w:after="0" w:before="0" w:line="276"/>
            </w:pPr>
            <w:r>
              <w:rPr>
                <w:rFonts w:ascii="Calibri" w:cs="Calibri" w:eastAsia="Calibri" w:hAnsi="Calibri"/>
                <w:caps/>
                <w:color w:val="7E8CA1"/>
                <w:sz w:val="13"/>
                <w:szCs w:val="13"/>
              </w:rPr>
              <w:t xml:space="preserve">Explains how</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Explains how it addresses the concern. That's one of the biggest reasons customers adopt Cisco Secure Workload. It gives you deep visibility into workload communication and application dependency mapping, so you can see how applications actually behave before enforcing policy.</w:t>
            </w:r>
          </w:p>
        </w:tc>
      </w:tr>
      <w:tr>
        <w:tc>
          <w:tcPr>
            <w:tcW w:type="dxa" w:w="1500"/>
            <w:tcBorders>
              <w:top w:val="single" w:color="EEF2F7" w:sz="4"/>
              <w:left w:val="none" w:color="FFFFFF" w:sz="0"/>
              <w:bottom w:val="none" w:color="FFFFFF" w:sz="0"/>
              <w:right w:val="none" w:color="FFFFFF" w:sz="0"/>
            </w:tcBorders>
            <w:shd w:fill="FBF1DC" w:color="auto" w:val="clear"/>
            <w:tcMar>
              <w:top w:type="dxa" w:w="80"/>
              <w:left w:type="dxa" w:w="140"/>
              <w:bottom w:type="dxa" w:w="80"/>
              <w:right w:type="dxa" w:w="100"/>
            </w:tcMar>
          </w:tcPr>
          <w:p>
            <w:pPr>
              <w:spacing w:after="6" w:before="0" w:line="276"/>
            </w:pPr>
            <w:r>
              <w:rPr>
                <w:rFonts w:ascii="Calibri" w:cs="Calibri" w:eastAsia="Calibri" w:hAnsi="Calibri"/>
                <w:b/>
                <w:bCs/>
                <w:color w:val="9A6516"/>
                <w:sz w:val="18"/>
                <w:szCs w:val="18"/>
              </w:rPr>
              <w:t xml:space="preserve">⭐ Best</w:t>
            </w:r>
          </w:p>
          <w:p>
            <w:pPr>
              <w:spacing w:after="0" w:before="0" w:line="276"/>
            </w:pPr>
            <w:r>
              <w:rPr>
                <w:rFonts w:ascii="Calibri" w:cs="Calibri" w:eastAsia="Calibri" w:hAnsi="Calibri"/>
                <w:caps/>
                <w:color w:val="7E8CA1"/>
                <w:sz w:val="13"/>
                <w:szCs w:val="13"/>
              </w:rPr>
              <w:t xml:space="preserve">Sells outcome</w:t>
            </w:r>
          </w:p>
        </w:tc>
        <w:tc>
          <w:tcPr>
            <w:tcW w:type="dxa" w:w="7860"/>
            <w:tcBorders>
              <w:top w:val="single" w:color="EEF2F7"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Ties it to Cedarline's constraints and the outcome it delivers. Reveals actual application communication paths Reduces the risk of segmentation causing outages Enables more precise policy design and staged enforcement. It also positions the solution within the wider Hybrid Mesh Firewall design.</w:t>
            </w:r>
          </w:p>
        </w:tc>
      </w:tr>
    </w:tbl>
    <w:p>
      <w:pPr>
        <w:spacing w:after="160"/>
      </w:pPr>
      <w:r>
        <w:rPr>
          <w:rFonts w:ascii="Calibri" w:cs="Calibri" w:eastAsia="Calibri" w:hAnsi="Calibri"/>
          <w:color w:val="14263A"/>
          <w:sz w:val="2"/>
          <w:szCs w:val="2"/>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2026-08-03T11:08:08.495Z</dcterms:created>
  <dcterms:modified xsi:type="dcterms:W3CDTF">2026-08-03T11:08:08.495Z</dcterms:modified>
</cp:coreProperties>
</file>

<file path=docProps/custom.xml><?xml version="1.0" encoding="utf-8"?>
<Properties xmlns="http://schemas.openxmlformats.org/officeDocument/2006/custom-properties" xmlns:vt="http://schemas.openxmlformats.org/officeDocument/2006/docPropsVTypes"/>
</file>