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4"/>
          <w:szCs w:val="44"/>
        </w:rPr>
        <w:t xml:space="preserve">Proctor Guide</w:t>
      </w:r>
    </w:p>
    <w:p>
      <w:pPr>
        <w:spacing w:after="160" w:before="0" w:line="276"/>
      </w:pPr>
      <w:r>
        <w:rPr>
          <w:rFonts w:ascii="Calibri" w:cs="Calibri" w:eastAsia="Calibri" w:hAnsi="Calibri"/>
          <w:color w:val="3A4C63"/>
          <w:sz w:val="24"/>
          <w:szCs w:val="24"/>
        </w:rPr>
        <w:t xml:space="preserve">Reference answers &amp; scoring — Case Studies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color w:val="33465F"/>
                <w:sz w:val="21"/>
                <w:szCs w:val="21"/>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color w:val="3A4C63"/>
          <w:sz w:val="21"/>
          <w:szCs w:val="21"/>
        </w:rPr>
        <w:t xml:space="preserve">Use this guide to grade each team's workbook. For every pain point you'll find the expected product/platform, a model Solution-Engineer response, and how it helps. Score each Case Study out of 100 (25 per pain point); 400 total.</w:t>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reference answers</w:t>
      </w:r>
    </w:p>
    <w:p>
      <w:pPr>
        <w:spacing w:after="80" w:before="0" w:line="276"/>
      </w:pPr>
      <w:r>
        <w:rPr>
          <w:rFonts w:ascii="Calibri" w:cs="Calibri" w:eastAsia="Calibri" w:hAnsi="Calibri"/>
          <w:b/>
          <w:bCs/>
          <w:color w:val="0D274D"/>
          <w:sz w:val="30"/>
          <w:szCs w:val="30"/>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Focus.  </w:t>
            </w:r>
            <w:r>
              <w:rPr>
                <w:rFonts w:ascii="Calibri" w:cs="Calibri" w:eastAsia="Calibri" w:hAnsi="Calibri"/>
                <w:color w:val="33465F"/>
                <w:sz w:val="21"/>
                <w:szCs w:val="21"/>
              </w:rPr>
              <w:t xml:space="preserve">Cedarline is standing up AI across regulated workflows and public cloud faster than security can see it. Help them prove compliance, vet what they adopt, and get visibility and guardrails over AI traffic.</w:t>
            </w:r>
          </w:p>
        </w:tc>
      </w:tr>
    </w:tbl>
    <w:p>
      <w:pPr>
        <w:spacing w:after="1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1</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AI Defense</w:t>
            </w:r>
            <w:r>
              <w:rPr>
                <w:rFonts w:ascii="Calibri" w:cs="Calibri" w:eastAsia="Calibri" w:hAnsi="Calibri"/>
                <w:color w:val="7E8CA1"/>
                <w:sz w:val="18"/>
                <w:szCs w:val="18"/>
              </w:rPr>
              <w:t xml:space="preserve">  · AI Model and Application Validation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Cisco AI Defense is specifically designed to support Provider obligations under the EU AI Act. We utilize algorithmic red teaming technology for AI Model &amp; App Validation, which identifies safety and security vulnerabilities at scale. By documenting these validation results and maintaining continuous runtime protection, you create a defensible, auditable framework.</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2</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AI Defense</w:t>
            </w:r>
            <w:r>
              <w:rPr>
                <w:rFonts w:ascii="Calibri" w:cs="Calibri" w:eastAsia="Calibri" w:hAnsi="Calibri"/>
                <w:color w:val="7E8CA1"/>
                <w:sz w:val="18"/>
                <w:szCs w:val="18"/>
              </w:rPr>
              <w:t xml:space="preserve">  · Supply Chain Risk Management</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Cisco AI Defense addresses this through proactive Supply Chain Risk Management. We scan your model files, repositories, and MCP servers to identify malicious or unsafe assets. By integrating this into your CI/CD pipeline, we can block compromised AI assets before they are deployed, ensuring that your operational environment remains secure from the start.</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3</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Cisco AI Defense - AI Cloud Visibility</w:t>
            </w:r>
            <w:r>
              <w:rPr>
                <w:rFonts w:ascii="Calibri" w:cs="Calibri" w:eastAsia="Calibri" w:hAnsi="Calibri"/>
                <w:color w:val="7E8CA1"/>
                <w:sz w:val="18"/>
                <w:szCs w:val="18"/>
              </w:rPr>
              <w:t xml:space="preserve">  · Ai Cloud Visibility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exactly the visibility gap Cisco AI Defense is built to solve. With AI Cloud Visibility, Cisco AI Defense continuously discovers AI assets across distributed cloud environments, including models, agents, datasets, MCP servers, and agent-to-tool workflows. Instead of relying on teams to manually identify what exists, you get a centralized view of your AI attack surface so you can find unsanctioned assets, assess whether they are protected, and bring them under policy.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dentifies rogue or unsanctioned AI assets
Maps relationships across data, models, agents, and tools
Gives security teams a single-pane-of-glass view of AI exposure
Helps close gaps before unknown AI usage becomes a production risk</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4</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AI Defense = AI visibility and guardrail integration
Multicloud Defense = cloud account connection, traffic visibility, policy attachment, and egress enforcement</w:t>
            </w:r>
            <w:r>
              <w:rPr>
                <w:rFonts w:ascii="Calibri" w:cs="Calibri" w:eastAsia="Calibri" w:hAnsi="Calibri"/>
                <w:color w:val="7E8CA1"/>
                <w:sz w:val="18"/>
                <w:szCs w:val="18"/>
              </w:rPr>
              <w:t xml:space="preserve">  · AI Runtime Protection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exactly what the AI Defense-Multicloud Defense integration is designed to address. Cisco AI Defense uses the integration to discover AI assets in your cloud environments and identify external AI destinations your workloads are calling. Then Cisco Multicloud Defense provides the cloud account connectivity, traffic visibility, and egress gateway enforcement point where AI Guardrails Profiles can be applied.
In practice, that means you get AI asset visibility plus runtime inspection of prompt and response traffic at the cloud egress layer. AI Defense gives you the AI-specific visibility and guardrail logic, while Multicloud Defense gives you the cloud-network integration and enforcement point.</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Finds AI assets in cloud accounts
Identifies third-party AI model usage
Uses existing cloud-network control points for enforcement
Avoids relying only on application-level changes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reference answers</w:t>
      </w:r>
    </w:p>
    <w:p>
      <w:pPr>
        <w:spacing w:after="80" w:before="0" w:line="276"/>
      </w:pPr>
      <w:r>
        <w:rPr>
          <w:rFonts w:ascii="Calibri" w:cs="Calibri" w:eastAsia="Calibri" w:hAnsi="Calibri"/>
          <w:b/>
          <w:bCs/>
          <w:color w:val="0D274D"/>
          <w:sz w:val="30"/>
          <w:szCs w:val="30"/>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Focus.  </w:t>
            </w:r>
            <w:r>
              <w:rPr>
                <w:rFonts w:ascii="Calibri" w:cs="Calibri" w:eastAsia="Calibri" w:hAnsi="Calibri"/>
                <w:color w:val="33465F"/>
                <w:sz w:val="21"/>
                <w:szCs w:val="21"/>
              </w:rPr>
              <w:t xml:space="preserve">Workloads sprawl across AWS, Azure and on-prem, each with its own policy model. Contain lateral movement, prove consistent controls to auditors, and give Cedarline one place to define and enforce policy.</w:t>
            </w:r>
          </w:p>
        </w:tc>
      </w:tr>
    </w:tbl>
    <w:p>
      <w:pPr>
        <w:spacing w:after="1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1</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Multicloud Defense</w:t>
            </w:r>
            <w:r>
              <w:rPr>
                <w:rFonts w:ascii="Calibri" w:cs="Calibri" w:eastAsia="Calibri" w:hAnsi="Calibri"/>
                <w:color w:val="7E8CA1"/>
                <w:sz w:val="18"/>
                <w:szCs w:val="18"/>
              </w:rPr>
              <w:t xml:space="preserve">  · Multicloud Defense Gateways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2</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Multicloud Defense</w:t>
            </w:r>
            <w:r>
              <w:rPr>
                <w:rFonts w:ascii="Calibri" w:cs="Calibri" w:eastAsia="Calibri" w:hAnsi="Calibri"/>
                <w:color w:val="7E8CA1"/>
                <w:sz w:val="18"/>
                <w:szCs w:val="18"/>
              </w:rPr>
              <w:t xml:space="preserve">  · Multicloud Defense Visibility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3</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Multicloud Defense</w:t>
            </w:r>
            <w:r>
              <w:rPr>
                <w:rFonts w:ascii="Calibri" w:cs="Calibri" w:eastAsia="Calibri" w:hAnsi="Calibri"/>
                <w:color w:val="7E8CA1"/>
                <w:sz w:val="18"/>
                <w:szCs w:val="18"/>
              </w:rPr>
              <w:t xml:space="preserve">  · Unified Security across public clouds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4</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Cisco Secure Workload
Cisco Secure Firewall
Cisco Secure Firewall Management Center (FMC)
Cisco Security Cloud Control</w:t>
            </w:r>
            <w:r>
              <w:rPr>
                <w:rFonts w:ascii="Calibri" w:cs="Calibri" w:eastAsia="Calibri" w:hAnsi="Calibri"/>
                <w:color w:val="7E8CA1"/>
                <w:sz w:val="18"/>
                <w:szCs w:val="18"/>
              </w:rPr>
              <w:t xml:space="preserve">  · Secure Workload Integration with Secure Firewall Management Center</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a common hybrid environment challenge. Cisco Secure Workload helps create a more unified segmentation model by using application dependency awareness and AI/ML-driven policy discovery to define policy based on how workloads actually communicate. Cisco Secure Firewall then enforces broader segmentation boundaries at the network layer.</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Reduces policy drift across hybrid and multicloud environments
Aligns policy to application behavior, not just static IP-based rules
Supports consistent macro and micro controls together</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reference answers</w:t>
      </w:r>
    </w:p>
    <w:p>
      <w:pPr>
        <w:spacing w:after="80" w:before="0" w:line="276"/>
      </w:pPr>
      <w:r>
        <w:rPr>
          <w:rFonts w:ascii="Calibri" w:cs="Calibri" w:eastAsia="Calibri" w:hAnsi="Calibri"/>
          <w:b/>
          <w:bCs/>
          <w:color w:val="0D274D"/>
          <w:sz w:val="30"/>
          <w:szCs w:val="30"/>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Focus.  </w:t>
            </w:r>
            <w:r>
              <w:rPr>
                <w:rFonts w:ascii="Calibri" w:cs="Calibri" w:eastAsia="Calibri" w:hAnsi="Calibri"/>
                <w:color w:val="33465F"/>
                <w:sz w:val="21"/>
                <w:szCs w:val="21"/>
              </w:rPr>
              <w:t xml:space="preserve">A mixed-vendor perimeter, an inherited rulebase and mostly-encrypted traffic leave blind spots and slow response. Restore visibility, speed the response, and modernise detection with the team they have.</w:t>
            </w:r>
          </w:p>
        </w:tc>
      </w:tr>
    </w:tbl>
    <w:p>
      <w:pPr>
        <w:spacing w:after="1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1</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ISE</w:t>
            </w:r>
            <w:r>
              <w:rPr>
                <w:rFonts w:ascii="Calibri" w:cs="Calibri" w:eastAsia="Calibri" w:hAnsi="Calibri"/>
                <w:color w:val="7E8CA1"/>
                <w:sz w:val="18"/>
                <w:szCs w:val="18"/>
              </w:rPr>
              <w:t xml:space="preserve">  · Security Group Tags (pxGrid integration)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Cisco ISE integrates with your security ecosystem via pxGrid and Adaptive Network Control (ANC). When a threat is detected, ISE can automatically trigger a quarantine policy, isolating the compromised device in real-time without requiring manual intervention.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2</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Cisco Security Cloud Control, FMC, FTD</w:t>
            </w:r>
            <w:r>
              <w:rPr>
                <w:rFonts w:ascii="Calibri" w:cs="Calibri" w:eastAsia="Calibri" w:hAnsi="Calibri"/>
                <w:color w:val="7E8CA1"/>
                <w:sz w:val="18"/>
                <w:szCs w:val="18"/>
              </w:rPr>
              <w:t xml:space="preserve">  · Unified Policy Administration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Cisco applies AI-driven analysis to firewall telemetry and policy data to surface optimization opportunities, reduce manual troubleshooting, and guide cleaner policy administration.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3</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Cisco Secure Firewall (FTD), FMC, Security Cloud Control</w:t>
            </w:r>
            <w:r>
              <w:rPr>
                <w:rFonts w:ascii="Calibri" w:cs="Calibri" w:eastAsia="Calibri" w:hAnsi="Calibri"/>
                <w:color w:val="7E8CA1"/>
                <w:sz w:val="18"/>
                <w:szCs w:val="18"/>
              </w:rPr>
              <w:t xml:space="preserve">  · EVE</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Encrypted Visibility Engine (EVE) uses AI/ML-based fingerprinting to analyze encrypted traffic patterns and identify suspicious behavior without decrypting the payload.</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4</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Cisco Secure Firewall (FTD), FMC, Security Cloud Control</w:t>
            </w:r>
            <w:r>
              <w:rPr>
                <w:rFonts w:ascii="Calibri" w:cs="Calibri" w:eastAsia="Calibri" w:hAnsi="Calibri"/>
                <w:color w:val="7E8CA1"/>
                <w:sz w:val="18"/>
                <w:szCs w:val="18"/>
              </w:rPr>
              <w:t xml:space="preserve">  · Snort ML</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exactly where Snort ML helps. It adds machine-learning-based detection inside the Snort 3 engine to identify exploit behavior associated with unknown/zero-day threats.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reference answers</w:t>
      </w:r>
    </w:p>
    <w:p>
      <w:pPr>
        <w:spacing w:after="80" w:before="0" w:line="276"/>
      </w:pPr>
      <w:r>
        <w:rPr>
          <w:rFonts w:ascii="Calibri" w:cs="Calibri" w:eastAsia="Calibri" w:hAnsi="Calibri"/>
          <w:b/>
          <w:bCs/>
          <w:color w:val="0D274D"/>
          <w:sz w:val="30"/>
          <w:szCs w:val="30"/>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Focus.  </w:t>
            </w:r>
            <w:r>
              <w:rPr>
                <w:rFonts w:ascii="Calibri" w:cs="Calibri" w:eastAsia="Calibri" w:hAnsi="Calibri"/>
                <w:color w:val="33465F"/>
                <w:sz w:val="21"/>
                <w:szCs w:val="21"/>
              </w:rPr>
              <w:t xml:space="preserve">A flat data centre and fragmented Kubernetes networking invite east-west movement. Build segmentation Cedarline can adopt safely — with runtime visibility and application-dependency awareness so nothing breaks.</w:t>
            </w:r>
          </w:p>
        </w:tc>
      </w:tr>
    </w:tbl>
    <w:p>
      <w:pPr>
        <w:spacing w:after="1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1</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Isovalent</w:t>
            </w:r>
            <w:r>
              <w:rPr>
                <w:rFonts w:ascii="Calibri" w:cs="Calibri" w:eastAsia="Calibri" w:hAnsi="Calibri"/>
                <w:color w:val="7E8CA1"/>
                <w:sz w:val="18"/>
                <w:szCs w:val="18"/>
              </w:rPr>
              <w:t xml:space="preserve">  · Tetragon Runtime Security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where Tetragon comes in. Tetragon extends the value of Cilium by providing eBPF-based runtime security and threat detection. It monitors system-level activity and network behavior in real time, so you can detect suspicious actions, investigate runtime events, and enforce security policy closer to the workload. In other words, Cilium helps control connectivity and segmentation, while Tetragon helps you understand and secure runtime behavior.</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Adds runtime visibility beyond basic network controls
Detects suspicious system and network behavior in real time
Strengthens Kubernetes security with deeper workload-level insight</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2</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w:t>
            </w:r>
            <w:r>
              <w:rPr>
                <w:rFonts w:ascii="Calibri" w:cs="Calibri" w:eastAsia="Calibri" w:hAnsi="Calibri"/>
                <w:color w:val="7E8CA1"/>
                <w:sz w:val="18"/>
                <w:szCs w:val="18"/>
              </w:rPr>
              <w:t xml:space="preserve">  · Cilium Networking Policies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exactly where Isovalent Cilium helps. Cilium provides a modern, eBPF-based Kubernetes networking layer that gives you consistent connectivity, policy enforcement, and visibility across clusters and environments. Instead of relying on older, IP-centric approaches that struggle in dynamic Kubernetes environments, Cilium enables more scalable and identity-aware networking designed for cloud-native workloads.</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Replaces brittle, IP-centric networking models with a Kubernetes-native approach
Improves consistency across dynamic cluster environments
Reduces operational complexity with a more unified networking and policy layer</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3</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cilium and tetragon</w:t>
            </w:r>
            <w:r>
              <w:rPr>
                <w:rFonts w:ascii="Calibri" w:cs="Calibri" w:eastAsia="Calibri" w:hAnsi="Calibri"/>
                <w:color w:val="7E8CA1"/>
                <w:sz w:val="18"/>
                <w:szCs w:val="18"/>
              </w:rPr>
              <w:t xml:space="preserve"/>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exactly the consolidation opportunity Isovalent addresses. With Cilium for networking and policy, and Tetragon for runtime security, you get a more unified platform for connectivity, segmentation, observability, and security. This helps reduce tool sprawl and gives platform and security teams a more integrated operating model.</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Consolidates multiple functions into one platform approach
Reduces tool sprawl and operational friction
Improves context sharing between networking, security, and operations teams</w:t>
            </w:r>
          </w:p>
        </w:tc>
      </w:tr>
    </w:tbl>
    <w:p>
      <w:pPr>
        <w:spacing w:after="1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200"/>
        <w:gridCol w:w="7160"/>
      </w:tblGrid>
      <w:tr>
        <w:tc>
          <w:tcPr>
            <w:tcW w:type="dxa" w:w="9360"/>
            <w:gridSpan w:val="2"/>
            <w:tcBorders>
              <w:top w:val="none" w:color="FFFFFF" w:sz="0"/>
              <w:left w:val="none" w:color="FFFFFF" w:sz="0"/>
              <w:bottom w:val="none" w:color="FFFFFF" w:sz="0"/>
              <w:right w:val="none" w:color="FFFFFF" w:sz="0"/>
            </w:tcBorders>
            <w:shd w:fill="0D274D" w:color="auto" w:val="clear"/>
            <w:tcMar>
              <w:top w:type="dxa" w:w="60"/>
              <w:left w:type="dxa" w:w="160"/>
              <w:bottom w:type="dxa" w:w="60"/>
              <w:right w:type="dxa" w:w="160"/>
            </w:tcMar>
          </w:tcPr>
          <w:p>
            <w:pPr>
              <w:tabs>
                <w:tab w:val="right" w:pos="9100"/>
              </w:tabs>
              <w:spacing w:after="0"/>
            </w:pPr>
            <w:r>
              <w:rPr>
                <w:rFonts w:ascii="Calibri" w:cs="Calibri" w:eastAsia="Calibri" w:hAnsi="Calibri"/>
                <w:b/>
                <w:bCs/>
                <w:color w:val="FFFFFF"/>
                <w:sz w:val="21"/>
                <w:szCs w:val="21"/>
              </w:rPr>
              <w:t xml:space="preserve">Pain Point 4</w:t>
            </w:r>
            <w:r>
              <w:rPr>
                <w:rFonts w:ascii="Calibri" w:cs="Calibri" w:eastAsia="Calibri" w:hAnsi="Calibri"/>
                <w:b/>
                <w:bCs/>
                <w:color w:val="7FE2EF"/>
                <w:sz w:val="18"/>
                <w:szCs w:val="18"/>
              </w:rPr>
              <w:t xml:space="preserve">	25 pts</w:t>
            </w:r>
          </w:p>
        </w:tc>
      </w:tr>
      <w:tr>
        <w:tc>
          <w:tcPr>
            <w:tcW w:type="dxa" w:w="9360"/>
            <w:gridSpan w:val="2"/>
            <w:tcBorders>
              <w:top w:val="none" w:color="FFFFFF" w:sz="0"/>
              <w:left w:val="none" w:color="FFFFFF" w:sz="0"/>
              <w:bottom w:val="single" w:color="E4EBF3" w:sz="4"/>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Product / Platform</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b/>
                <w:bCs/>
                <w:color w:val="036C8F"/>
                <w:sz w:val="20"/>
                <w:szCs w:val="20"/>
              </w:rPr>
              <w:t xml:space="preserve">Cisco Secure Workload
Cisco Secure Firewall</w:t>
            </w:r>
            <w:r>
              <w:rPr>
                <w:rFonts w:ascii="Calibri" w:cs="Calibri" w:eastAsia="Calibri" w:hAnsi="Calibri"/>
                <w:color w:val="7E8CA1"/>
                <w:sz w:val="18"/>
                <w:szCs w:val="18"/>
              </w:rPr>
              <w:t xml:space="preserve">  · Application dependency mapping</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Model SE response</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That's one of the biggest reasons customers adopt Cisco Secure Workload. It gives you deep visibility into workload communication and application dependency mapping, so you can see how applications actually behave before enforcing policy.
That visibility helps you build segmentation policy with much more confidence, reduce guesswork, and move toward microsegmentation in a controlled way.</w:t>
            </w:r>
          </w:p>
        </w:tc>
      </w:tr>
      <w:tr>
        <w:tc>
          <w:tcPr>
            <w:tcW w:type="dxa" w:w="2200"/>
            <w:tcBorders>
              <w:top w:val="none" w:color="FFFFFF" w:sz="0"/>
              <w:left w:val="none" w:color="FFFFFF" w:sz="0"/>
              <w:bottom w:val="single" w:color="E4EBF3" w:sz="4"/>
              <w:right w:val="none" w:color="FFFFFF" w:sz="0"/>
            </w:tcBorders>
            <w:shd w:fill="F7F9FC" w:color="auto" w:val="clear"/>
            <w:tcMar>
              <w:top w:type="dxa" w:w="60"/>
              <w:left w:type="dxa" w:w="160"/>
              <w:bottom w:type="dxa" w:w="60"/>
              <w:right w:type="dxa" w:w="100"/>
            </w:tcMar>
          </w:tcPr>
          <w:p>
            <w:pPr>
              <w:spacing w:after="0" w:before="0" w:line="276"/>
            </w:pPr>
            <w:r>
              <w:rPr>
                <w:rFonts w:ascii="Calibri" w:cs="Calibri" w:eastAsia="Calibri" w:hAnsi="Calibri"/>
                <w:b/>
                <w:bCs/>
                <w:caps/>
                <w:color w:val="036C8F"/>
                <w:sz w:val="16"/>
                <w:szCs w:val="16"/>
              </w:rPr>
              <w:t xml:space="preserve">How it helps</w:t>
            </w:r>
          </w:p>
        </w:tc>
        <w:tc>
          <w:tcPr>
            <w:tcW w:type="dxa" w:w="7160"/>
            <w:tcBorders>
              <w:top w:val="none" w:color="FFFFFF" w:sz="0"/>
              <w:left w:val="none" w:color="FFFFFF" w:sz="0"/>
              <w:bottom w:val="single" w:color="E4EBF3" w:sz="4"/>
              <w:right w:val="none" w:color="FFFFFF" w:sz="0"/>
            </w:tcBorders>
            <w:tcMar>
              <w:top w:type="dxa" w:w="60"/>
              <w:left w:type="dxa" w:w="160"/>
              <w:bottom w:type="dxa" w:w="60"/>
              <w:right w:type="dxa" w:w="160"/>
            </w:tcMar>
          </w:tcPr>
          <w:p>
            <w:pPr>
              <w:spacing w:after="0" w:before="0" w:line="276"/>
            </w:pPr>
            <w:r>
              <w:rPr>
                <w:rFonts w:ascii="Calibri" w:cs="Calibri" w:eastAsia="Calibri" w:hAnsi="Calibri"/>
                <w:color w:val="22344A"/>
                <w:sz w:val="20"/>
                <w:szCs w:val="20"/>
              </w:rPr>
              <w:t xml:space="preserve">Reveals actual application communication paths
Reduces the risk of segmentation causing outages
Enables more precise policy design and staged enforcement</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Scoring</w:t>
      </w:r>
    </w:p>
    <w:p>
      <w:pPr>
        <w:pBdr>
          <w:bottom w:val="single" w:color="00BCEB" w:sz="18"/>
        </w:pBdr>
        <w:spacing w:after="120"/>
      </w:pPr>
      <w:r>
        <w:rPr>
          <w:rFonts w:ascii="Calibri" w:cs="Calibri" w:eastAsia="Calibri" w:hAnsi="Calibri"/>
          <w:color w:val="14263A"/>
          <w:sz w:val="2"/>
          <w:szCs w:val="2"/>
        </w:rPr>
        <w:t xml:space="preserve"/>
      </w:r>
    </w:p>
    <w:p>
      <w:pPr>
        <w:spacing w:after="80" w:before="0" w:line="276"/>
      </w:pPr>
      <w:r>
        <w:rPr>
          <w:rFonts w:ascii="Calibri" w:cs="Calibri" w:eastAsia="Calibri" w:hAnsi="Calibri"/>
          <w:b/>
          <w:bCs/>
          <w:color w:val="0D274D"/>
          <w:sz w:val="30"/>
          <w:szCs w:val="30"/>
        </w:rPr>
        <w:t xml:space="preserve">How to score each Case Study (0–100)</w:t>
      </w:r>
    </w:p>
    <w:p>
      <w:pPr>
        <w:spacing w:after="120" w:before="0" w:line="276"/>
      </w:pPr>
      <w:r>
        <w:rPr>
          <w:rFonts w:ascii="Calibri" w:cs="Calibri" w:eastAsia="Calibri" w:hAnsi="Calibri"/>
          <w:color w:val="3A4C63"/>
          <w:sz w:val="22"/>
          <w:szCs w:val="22"/>
        </w:rPr>
        <w:t xml:space="preserve">Score each of the four pain points out of 25, then sum for the Case Study. Four Case Studies → 400 total.</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400"/>
        <w:gridCol w:w="7960"/>
      </w:tblGrid>
      <w:tr>
        <w:tc>
          <w:tcPr>
            <w:tcW w:type="dxa" w:w="1400"/>
            <w:tcBorders>
              <w:top w:val="none" w:color="FFFFFF" w:sz="0"/>
              <w:left w:val="none" w:color="FFFFFF" w:sz="0"/>
              <w:bottom w:val="single" w:color="E4EBF3" w:sz="4"/>
              <w:right w:val="none" w:color="FFFFFF" w:sz="0"/>
            </w:tcBorders>
            <w:tcMar>
              <w:top w:type="dxa" w:w="70"/>
              <w:left w:type="dxa" w:w="160"/>
              <w:bottom w:type="dxa" w:w="70"/>
              <w:right w:type="dxa" w:w="100"/>
            </w:tcMar>
          </w:tcPr>
          <w:p>
            <w:pPr>
              <w:spacing w:after="0" w:before="0" w:line="276"/>
            </w:pPr>
            <w:r>
              <w:rPr>
                <w:rFonts w:ascii="Calibri" w:cs="Calibri" w:eastAsia="Calibri" w:hAnsi="Calibri"/>
                <w:b/>
                <w:bCs/>
                <w:color w:val="0D274D"/>
                <w:sz w:val="22"/>
                <w:szCs w:val="22"/>
              </w:rPr>
              <w:t xml:space="preserve">22–25</w:t>
            </w:r>
          </w:p>
        </w:tc>
        <w:tc>
          <w:tcPr>
            <w:tcW w:type="dxa" w:w="7960"/>
            <w:tcBorders>
              <w:top w:val="none" w:color="FFFFFF" w:sz="0"/>
              <w:left w:val="none" w:color="FFFFFF" w:sz="0"/>
              <w:bottom w:val="single" w:color="E4EBF3" w:sz="4"/>
              <w:right w:val="none" w:color="FFFFFF" w:sz="0"/>
            </w:tcBorders>
            <w:tcMar>
              <w:top w:type="dxa" w:w="70"/>
              <w:left w:type="dxa" w:w="120"/>
              <w:bottom w:type="dxa" w:w="70"/>
              <w:right w:type="dxa" w:w="160"/>
            </w:tcMar>
          </w:tcPr>
          <w:p>
            <w:pPr>
              <w:spacing w:after="0" w:before="0" w:line="276"/>
            </w:pPr>
            <w:r>
              <w:rPr>
                <w:rFonts w:ascii="Calibri" w:cs="Calibri" w:eastAsia="Calibri" w:hAnsi="Calibri"/>
                <w:color w:val="3A4C63"/>
                <w:sz w:val="21"/>
                <w:szCs w:val="21"/>
              </w:rPr>
              <w:t xml:space="preserve">Right product and specific SE reasoning tied to Cedarline's constraints; names how it helps.</w:t>
            </w:r>
          </w:p>
        </w:tc>
      </w:tr>
      <w:tr>
        <w:tc>
          <w:tcPr>
            <w:tcW w:type="dxa" w:w="1400"/>
            <w:tcBorders>
              <w:top w:val="none" w:color="FFFFFF" w:sz="0"/>
              <w:left w:val="none" w:color="FFFFFF" w:sz="0"/>
              <w:bottom w:val="single" w:color="E4EBF3" w:sz="4"/>
              <w:right w:val="none" w:color="FFFFFF" w:sz="0"/>
            </w:tcBorders>
            <w:tcMar>
              <w:top w:type="dxa" w:w="70"/>
              <w:left w:type="dxa" w:w="160"/>
              <w:bottom w:type="dxa" w:w="70"/>
              <w:right w:type="dxa" w:w="100"/>
            </w:tcMar>
          </w:tcPr>
          <w:p>
            <w:pPr>
              <w:spacing w:after="0" w:before="0" w:line="276"/>
            </w:pPr>
            <w:r>
              <w:rPr>
                <w:rFonts w:ascii="Calibri" w:cs="Calibri" w:eastAsia="Calibri" w:hAnsi="Calibri"/>
                <w:b/>
                <w:bCs/>
                <w:color w:val="0D274D"/>
                <w:sz w:val="22"/>
                <w:szCs w:val="22"/>
              </w:rPr>
              <w:t xml:space="preserve">16–21</w:t>
            </w:r>
          </w:p>
        </w:tc>
        <w:tc>
          <w:tcPr>
            <w:tcW w:type="dxa" w:w="7960"/>
            <w:tcBorders>
              <w:top w:val="none" w:color="FFFFFF" w:sz="0"/>
              <w:left w:val="none" w:color="FFFFFF" w:sz="0"/>
              <w:bottom w:val="single" w:color="E4EBF3" w:sz="4"/>
              <w:right w:val="none" w:color="FFFFFF" w:sz="0"/>
            </w:tcBorders>
            <w:tcMar>
              <w:top w:type="dxa" w:w="70"/>
              <w:left w:type="dxa" w:w="120"/>
              <w:bottom w:type="dxa" w:w="70"/>
              <w:right w:type="dxa" w:w="160"/>
            </w:tcMar>
          </w:tcPr>
          <w:p>
            <w:pPr>
              <w:spacing w:after="0" w:before="0" w:line="276"/>
            </w:pPr>
            <w:r>
              <w:rPr>
                <w:rFonts w:ascii="Calibri" w:cs="Calibri" w:eastAsia="Calibri" w:hAnsi="Calibri"/>
                <w:color w:val="3A4C63"/>
                <w:sz w:val="21"/>
                <w:szCs w:val="21"/>
              </w:rPr>
              <w:t xml:space="preserve">Appropriate product with sound reasoning, but generic or missing the “how it helps” tie-back.</w:t>
            </w:r>
          </w:p>
        </w:tc>
      </w:tr>
      <w:tr>
        <w:tc>
          <w:tcPr>
            <w:tcW w:type="dxa" w:w="1400"/>
            <w:tcBorders>
              <w:top w:val="none" w:color="FFFFFF" w:sz="0"/>
              <w:left w:val="none" w:color="FFFFFF" w:sz="0"/>
              <w:bottom w:val="single" w:color="E4EBF3" w:sz="4"/>
              <w:right w:val="none" w:color="FFFFFF" w:sz="0"/>
            </w:tcBorders>
            <w:tcMar>
              <w:top w:type="dxa" w:w="70"/>
              <w:left w:type="dxa" w:w="160"/>
              <w:bottom w:type="dxa" w:w="70"/>
              <w:right w:type="dxa" w:w="100"/>
            </w:tcMar>
          </w:tcPr>
          <w:p>
            <w:pPr>
              <w:spacing w:after="0" w:before="0" w:line="276"/>
            </w:pPr>
            <w:r>
              <w:rPr>
                <w:rFonts w:ascii="Calibri" w:cs="Calibri" w:eastAsia="Calibri" w:hAnsi="Calibri"/>
                <w:b/>
                <w:bCs/>
                <w:color w:val="0D274D"/>
                <w:sz w:val="22"/>
                <w:szCs w:val="22"/>
              </w:rPr>
              <w:t xml:space="preserve">8–15</w:t>
            </w:r>
          </w:p>
        </w:tc>
        <w:tc>
          <w:tcPr>
            <w:tcW w:type="dxa" w:w="7960"/>
            <w:tcBorders>
              <w:top w:val="none" w:color="FFFFFF" w:sz="0"/>
              <w:left w:val="none" w:color="FFFFFF" w:sz="0"/>
              <w:bottom w:val="single" w:color="E4EBF3" w:sz="4"/>
              <w:right w:val="none" w:color="FFFFFF" w:sz="0"/>
            </w:tcBorders>
            <w:tcMar>
              <w:top w:type="dxa" w:w="70"/>
              <w:left w:type="dxa" w:w="120"/>
              <w:bottom w:type="dxa" w:w="70"/>
              <w:right w:type="dxa" w:w="160"/>
            </w:tcMar>
          </w:tcPr>
          <w:p>
            <w:pPr>
              <w:spacing w:after="0" w:before="0" w:line="276"/>
            </w:pPr>
            <w:r>
              <w:rPr>
                <w:rFonts w:ascii="Calibri" w:cs="Calibri" w:eastAsia="Calibri" w:hAnsi="Calibri"/>
                <w:color w:val="3A4C63"/>
                <w:sz w:val="21"/>
                <w:szCs w:val="21"/>
              </w:rPr>
              <w:t xml:space="preserve">Plausible product but thin/vague reasoning, or reasoning without the right product.</w:t>
            </w:r>
          </w:p>
        </w:tc>
      </w:tr>
      <w:tr>
        <w:tc>
          <w:tcPr>
            <w:tcW w:type="dxa" w:w="1400"/>
            <w:tcBorders>
              <w:top w:val="none" w:color="FFFFFF" w:sz="0"/>
              <w:left w:val="none" w:color="FFFFFF" w:sz="0"/>
              <w:bottom w:val="single" w:color="E4EBF3" w:sz="4"/>
              <w:right w:val="none" w:color="FFFFFF" w:sz="0"/>
            </w:tcBorders>
            <w:tcMar>
              <w:top w:type="dxa" w:w="70"/>
              <w:left w:type="dxa" w:w="160"/>
              <w:bottom w:type="dxa" w:w="70"/>
              <w:right w:type="dxa" w:w="100"/>
            </w:tcMar>
          </w:tcPr>
          <w:p>
            <w:pPr>
              <w:spacing w:after="0" w:before="0" w:line="276"/>
            </w:pPr>
            <w:r>
              <w:rPr>
                <w:rFonts w:ascii="Calibri" w:cs="Calibri" w:eastAsia="Calibri" w:hAnsi="Calibri"/>
                <w:b/>
                <w:bCs/>
                <w:color w:val="0D274D"/>
                <w:sz w:val="22"/>
                <w:szCs w:val="22"/>
              </w:rPr>
              <w:t xml:space="preserve">1–7</w:t>
            </w:r>
          </w:p>
        </w:tc>
        <w:tc>
          <w:tcPr>
            <w:tcW w:type="dxa" w:w="7960"/>
            <w:tcBorders>
              <w:top w:val="none" w:color="FFFFFF" w:sz="0"/>
              <w:left w:val="none" w:color="FFFFFF" w:sz="0"/>
              <w:bottom w:val="single" w:color="E4EBF3" w:sz="4"/>
              <w:right w:val="none" w:color="FFFFFF" w:sz="0"/>
            </w:tcBorders>
            <w:tcMar>
              <w:top w:type="dxa" w:w="70"/>
              <w:left w:type="dxa" w:w="120"/>
              <w:bottom w:type="dxa" w:w="70"/>
              <w:right w:type="dxa" w:w="160"/>
            </w:tcMar>
          </w:tcPr>
          <w:p>
            <w:pPr>
              <w:spacing w:after="0" w:before="0" w:line="276"/>
            </w:pPr>
            <w:r>
              <w:rPr>
                <w:rFonts w:ascii="Calibri" w:cs="Calibri" w:eastAsia="Calibri" w:hAnsi="Calibri"/>
                <w:color w:val="3A4C63"/>
                <w:sz w:val="21"/>
                <w:szCs w:val="21"/>
              </w:rPr>
              <w:t xml:space="preserve">Off-target product or a product name with no real reasoning.</w:t>
            </w:r>
          </w:p>
        </w:tc>
      </w:tr>
      <w:tr>
        <w:tc>
          <w:tcPr>
            <w:tcW w:type="dxa" w:w="1400"/>
            <w:tcBorders>
              <w:top w:val="none" w:color="FFFFFF" w:sz="0"/>
              <w:left w:val="none" w:color="FFFFFF" w:sz="0"/>
              <w:bottom w:val="single" w:color="E4EBF3" w:sz="4"/>
              <w:right w:val="none" w:color="FFFFFF" w:sz="0"/>
            </w:tcBorders>
            <w:tcMar>
              <w:top w:type="dxa" w:w="70"/>
              <w:left w:type="dxa" w:w="160"/>
              <w:bottom w:type="dxa" w:w="70"/>
              <w:right w:type="dxa" w:w="100"/>
            </w:tcMar>
          </w:tcPr>
          <w:p>
            <w:pPr>
              <w:spacing w:after="0" w:before="0" w:line="276"/>
            </w:pPr>
            <w:r>
              <w:rPr>
                <w:rFonts w:ascii="Calibri" w:cs="Calibri" w:eastAsia="Calibri" w:hAnsi="Calibri"/>
                <w:b/>
                <w:bCs/>
                <w:color w:val="0D274D"/>
                <w:sz w:val="22"/>
                <w:szCs w:val="22"/>
              </w:rPr>
              <w:t xml:space="preserve">0</w:t>
            </w:r>
          </w:p>
        </w:tc>
        <w:tc>
          <w:tcPr>
            <w:tcW w:type="dxa" w:w="7960"/>
            <w:tcBorders>
              <w:top w:val="none" w:color="FFFFFF" w:sz="0"/>
              <w:left w:val="none" w:color="FFFFFF" w:sz="0"/>
              <w:bottom w:val="single" w:color="E4EBF3" w:sz="4"/>
              <w:right w:val="none" w:color="FFFFFF" w:sz="0"/>
            </w:tcBorders>
            <w:tcMar>
              <w:top w:type="dxa" w:w="70"/>
              <w:left w:type="dxa" w:w="120"/>
              <w:bottom w:type="dxa" w:w="70"/>
              <w:right w:type="dxa" w:w="160"/>
            </w:tcMar>
          </w:tcPr>
          <w:p>
            <w:pPr>
              <w:spacing w:after="0" w:before="0" w:line="276"/>
            </w:pPr>
            <w:r>
              <w:rPr>
                <w:rFonts w:ascii="Calibri" w:cs="Calibri" w:eastAsia="Calibri" w:hAnsi="Calibri"/>
                <w:color w:val="3A4C63"/>
                <w:sz w:val="21"/>
                <w:szCs w:val="21"/>
              </w:rPr>
              <w:t xml:space="preserve">Blank or off-topic.</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Band guide per Case Study (total /100):  </w:t>
            </w:r>
            <w:r>
              <w:rPr>
                <w:rFonts w:ascii="Calibri" w:cs="Calibri" w:eastAsia="Calibri" w:hAnsi="Calibri"/>
                <w:color w:val="33465F"/>
                <w:sz w:val="21"/>
                <w:szCs w:val="21"/>
              </w:rPr>
              <w:t xml:space="preserve">90–100 excellent · 75–89 strong · 60–74 solid · 40–59 developing · &lt;40 needs work.</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2026-07-27T18:39:34.195Z</dcterms:created>
  <dcterms:modified xsi:type="dcterms:W3CDTF">2026-07-27T18:39:34.195Z</dcterms:modified>
</cp:coreProperties>
</file>

<file path=docProps/custom.xml><?xml version="1.0" encoding="utf-8"?>
<Properties xmlns="http://schemas.openxmlformats.org/officeDocument/2006/custom-properties" xmlns:vt="http://schemas.openxmlformats.org/officeDocument/2006/docPropsVTypes"/>
</file>