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A case study score, an overall score, and qualitative feedback on three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Score each case study across its four pain points, out of 100, for an overall total of 400. Alongside the score, assess each team on three dimensions and record qualitative feedback. Use the Solution Guide for the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score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For each case study, read the team's four answers, assess them on the three dimensions using the scale below, and assign a case study score out of 100. Add the four case study scores for an overall score out of 400. Grade against the Solution Guide and reward reasoning specific to Cedarline.</w:t>
            </w:r>
          </w:p>
        </w:tc>
      </w:tr>
    </w:tbl>
    <w:p>
      <w:pPr>
        <w:spacing w:after="50" w:before="150" w:line="276"/>
      </w:pPr>
      <w:r>
        <w:rPr>
          <w:rFonts w:ascii="Calibri" w:cs="Calibri" w:eastAsia="Calibri" w:hAnsi="Calibri"/>
          <w:b/>
          <w:bCs/>
          <w:caps/>
          <w:color w:val="0D274D"/>
          <w:sz w:val="22"/>
          <w:szCs w:val="22"/>
        </w:rPr>
        <w:t xml:space="preserve">The assessment scale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00"/>
        <w:gridCol w:w="7460"/>
      </w:tblGrid>
      <w:tr>
        <w:tc>
          <w:tcPr>
            <w:tcW w:type="dxa" w:w="1900"/>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Strong</w:t>
            </w:r>
          </w:p>
        </w:tc>
        <w:tc>
          <w:tcPr>
            <w:tcW w:type="dxa" w:w="74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Consistently meets the dimension across the case study, specific to Cedarline.</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Developing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Solid, but with gaps or generic reasoning in places.</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Emerging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Early. The idea is there but thin, partial, or unclear.</w:t>
            </w:r>
          </w:p>
        </w:tc>
      </w:tr>
    </w:tbl>
    <w:p>
      <w:pPr>
        <w:spacing w:after="50" w:before="150" w:line="276"/>
      </w:pPr>
      <w:r>
        <w:rPr>
          <w:rFonts w:ascii="Calibri" w:cs="Calibri" w:eastAsia="Calibri" w:hAnsi="Calibri"/>
          <w:b/>
          <w:bCs/>
          <w:caps/>
          <w:color w:val="0D274D"/>
          <w:sz w:val="22"/>
          <w:szCs w:val="22"/>
        </w:rPr>
        <w:t xml:space="preserve">From ratings to a score</w:t>
      </w:r>
    </w:p>
    <w:p>
      <w:pPr>
        <w:spacing w:after="80" w:before="0" w:line="276"/>
      </w:pPr>
      <w:r>
        <w:rPr>
          <w:rFonts w:ascii="Calibri" w:cs="Calibri" w:eastAsia="Calibri" w:hAnsi="Calibri"/>
          <w:color w:val="3A4C63"/>
          <w:sz w:val="20"/>
          <w:szCs w:val="20"/>
        </w:rPr>
        <w:t xml:space="preserve">Use the overall picture across the three dimensions to place the case study score in a range.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931"/>
        <w:gridCol w:w="5429"/>
      </w:tblGrid>
      <w:tr>
        <w:tc>
          <w:tcPr>
            <w:tcW w:type="dxa" w:w="3931"/>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Strong</w:t>
            </w:r>
          </w:p>
        </w:tc>
        <w:tc>
          <w:tcPr>
            <w:tcW w:type="dxa" w:w="5429"/>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85 to 100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Developing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65 to 84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40 to 64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Below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under 40 / 100</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80"/>
      </w:pPr>
      <w:r>
        <w:rPr>
          <w:rFonts w:ascii="Calibri" w:cs="Calibri" w:eastAsia="Calibri" w:hAnsi="Calibri"/>
          <w:color w:val="14263A"/>
          <w:sz w:val="2"/>
          <w:szCs w:val="2"/>
        </w:rPr>
        <w:t xml:space="preserve"/>
      </w:r>
    </w:p>
    <w:p>
      <w:pPr>
        <w:spacing w:after="50" w:before="0" w:line="276"/>
      </w:pPr>
      <w:r>
        <w:rPr>
          <w:rFonts w:ascii="Calibri" w:cs="Calibri" w:eastAsia="Calibri" w:hAnsi="Calibri"/>
          <w:b/>
          <w:bCs/>
          <w:caps/>
          <w:color w:val="7E8CA1"/>
          <w:sz w:val="15"/>
          <w:szCs w:val="15"/>
        </w:rPr>
        <w:t xml:space="preserve">The four pain points assessed</w:t>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Under the EU AI Act, we are classified as a 'Provider' for our internal AI systems. We need to demonstrate…</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We are integrating various open-source models and third-party agents into our internal workflows. How can…</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We know AI is showing up across our cloud environments faster than security can track it. We're worried we…</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We're running AI workloads in cloud accounts, but we don't have a reliable way to see which models and AI…</w:t>
            </w:r>
          </w:p>
        </w:tc>
      </w:tr>
    </w:tbl>
    <w:p>
      <w:pPr>
        <w:spacing w:after="12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1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80"/>
      </w:pPr>
      <w:r>
        <w:rPr>
          <w:rFonts w:ascii="Calibri" w:cs="Calibri" w:eastAsia="Calibri" w:hAnsi="Calibri"/>
          <w:color w:val="14263A"/>
          <w:sz w:val="2"/>
          <w:szCs w:val="2"/>
        </w:rPr>
        <w:t xml:space="preserve"/>
      </w:r>
    </w:p>
    <w:p>
      <w:pPr>
        <w:spacing w:after="50" w:before="0" w:line="276"/>
      </w:pPr>
      <w:r>
        <w:rPr>
          <w:rFonts w:ascii="Calibri" w:cs="Calibri" w:eastAsia="Calibri" w:hAnsi="Calibri"/>
          <w:b/>
          <w:bCs/>
          <w:caps/>
          <w:color w:val="7E8CA1"/>
          <w:sz w:val="15"/>
          <w:szCs w:val="15"/>
        </w:rPr>
        <w:t xml:space="preserve">The four pain points assessed</w:t>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If a breach occurs in one of our public cloud instances, we are terrified that the attacker will move…</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Our auditors require proof that our security controls are applied consistently across all our cloud…</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We have workloads spread across AWS, Azure, and on-premises data centers. Managing security policies…</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 have workloads on-prem, in cloud, and in mixed environments, and policy consistency is becoming…</w:t>
            </w:r>
          </w:p>
        </w:tc>
      </w:tr>
    </w:tbl>
    <w:p>
      <w:pPr>
        <w:spacing w:after="12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2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80"/>
      </w:pPr>
      <w:r>
        <w:rPr>
          <w:rFonts w:ascii="Calibri" w:cs="Calibri" w:eastAsia="Calibri" w:hAnsi="Calibri"/>
          <w:color w:val="14263A"/>
          <w:sz w:val="2"/>
          <w:szCs w:val="2"/>
        </w:rPr>
        <w:t xml:space="preserve"/>
      </w:r>
    </w:p>
    <w:p>
      <w:pPr>
        <w:spacing w:after="50" w:before="0" w:line="276"/>
      </w:pPr>
      <w:r>
        <w:rPr>
          <w:rFonts w:ascii="Calibri" w:cs="Calibri" w:eastAsia="Calibri" w:hAnsi="Calibri"/>
          <w:b/>
          <w:bCs/>
          <w:caps/>
          <w:color w:val="7E8CA1"/>
          <w:sz w:val="15"/>
          <w:szCs w:val="15"/>
        </w:rPr>
        <w:t xml:space="preserve">The four pain points assessed</w:t>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When our security tools detect a compromised device, our manual response time is too slow. By the time we…</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Our firewall environment has become too complex to manage manually.</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Most of our traffic is encrypted, so we've lost visibility into a huge part of our environment.</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We're worried traditional signature-based detection won't catch new or unknown attacks quickly enough.</w:t>
            </w:r>
          </w:p>
        </w:tc>
      </w:tr>
    </w:tbl>
    <w:p>
      <w:pPr>
        <w:spacing w:after="12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3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80"/>
      </w:pPr>
      <w:r>
        <w:rPr>
          <w:rFonts w:ascii="Calibri" w:cs="Calibri" w:eastAsia="Calibri" w:hAnsi="Calibri"/>
          <w:color w:val="14263A"/>
          <w:sz w:val="2"/>
          <w:szCs w:val="2"/>
        </w:rPr>
        <w:t xml:space="preserve"/>
      </w:r>
    </w:p>
    <w:p>
      <w:pPr>
        <w:spacing w:after="50" w:before="0" w:line="276"/>
      </w:pPr>
      <w:r>
        <w:rPr>
          <w:rFonts w:ascii="Calibri" w:cs="Calibri" w:eastAsia="Calibri" w:hAnsi="Calibri"/>
          <w:b/>
          <w:bCs/>
          <w:caps/>
          <w:color w:val="7E8CA1"/>
          <w:sz w:val="15"/>
          <w:szCs w:val="15"/>
        </w:rPr>
        <w:t xml:space="preserve">The four pain points assessed</w:t>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1. </w:t>
            </w:r>
            <w:r>
              <w:rPr>
                <w:rFonts w:ascii="Calibri" w:cs="Calibri" w:eastAsia="Calibri" w:hAnsi="Calibri"/>
                <w:color w:val="46566E"/>
                <w:sz w:val="17"/>
                <w:szCs w:val="17"/>
              </w:rPr>
              <w:t xml:space="preserve">Network policy helps, but we also need to know what's happening at runtime inside the workload. We need…</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2. </w:t>
            </w:r>
            <w:r>
              <w:rPr>
                <w:rFonts w:ascii="Calibri" w:cs="Calibri" w:eastAsia="Calibri" w:hAnsi="Calibri"/>
                <w:color w:val="46566E"/>
                <w:sz w:val="17"/>
                <w:szCs w:val="17"/>
              </w:rPr>
              <w:t xml:space="preserve">Our Kubernetes networking feels fragmented across clusters and environments. We're dealing with too many…</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3. </w:t>
            </w:r>
            <w:r>
              <w:rPr>
                <w:rFonts w:ascii="Calibri" w:cs="Calibri" w:eastAsia="Calibri" w:hAnsi="Calibri"/>
                <w:color w:val="46566E"/>
                <w:sz w:val="17"/>
                <w:szCs w:val="17"/>
              </w:rPr>
              <w:t xml:space="preserve">Right now we're stitching together separate tools for networking, security, and observability in…</w:t>
            </w:r>
          </w:p>
        </w:tc>
      </w:tr>
      <w:tr>
        <w:tc>
          <w:tcPr>
            <w:tcW w:type="dxa" w:w="9360"/>
            <w:tcBorders>
              <w:top w:val="single" w:color="EEF2F7" w:sz="4"/>
              <w:left w:val="none" w:color="FFFFFF" w:sz="0"/>
              <w:bottom w:val="none" w:color="FFFFFF" w:sz="0"/>
              <w:right w:val="none" w:color="FFFFFF" w:sz="0"/>
            </w:tcBorders>
            <w:tcMar>
              <w:top w:type="dxa" w:w="60"/>
              <w:left w:type="dxa" w:w="150"/>
              <w:bottom w:type="dxa" w:w="60"/>
              <w:right w:type="dxa" w:w="150"/>
            </w:tcMar>
          </w:tcPr>
          <w:p>
            <w:pPr>
              <w:spacing w:after="0" w:before="0" w:line="276"/>
            </w:pPr>
            <w:r>
              <w:rPr>
                <w:rFonts w:ascii="Calibri" w:cs="Calibri" w:eastAsia="Calibri" w:hAnsi="Calibri"/>
                <w:b/>
                <w:bCs/>
                <w:color w:val="0D274D"/>
                <w:sz w:val="17"/>
                <w:szCs w:val="17"/>
              </w:rPr>
              <w:t xml:space="preserve">4. </w:t>
            </w:r>
            <w:r>
              <w:rPr>
                <w:rFonts w:ascii="Calibri" w:cs="Calibri" w:eastAsia="Calibri" w:hAnsi="Calibri"/>
                <w:color w:val="46566E"/>
                <w:sz w:val="17"/>
                <w:szCs w:val="17"/>
              </w:rPr>
              <w:t xml:space="preserve">We know we need microsegmentation, but we don't have enough visibility into east-west flows or application…</w:t>
            </w:r>
          </w:p>
        </w:tc>
      </w:tr>
    </w:tbl>
    <w:p>
      <w:pPr>
        <w:spacing w:after="12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4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Score summary</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Team total</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Event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760"/>
        <w:gridCol w:w="2600"/>
      </w:tblGrid>
      <w:tr>
        <w:trPr>
          <w:tblHeader/>
        </w:trPr>
        <w:tc>
          <w:tcPr>
            <w:tcW w:type="dxa" w:w="676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left"/>
            </w:pPr>
            <w:r>
              <w:rPr>
                <w:rFonts w:ascii="Calibri" w:cs="Calibri" w:eastAsia="Calibri" w:hAnsi="Calibri"/>
                <w:b/>
                <w:bCs/>
                <w:caps/>
                <w:color w:val="FFFFFF"/>
                <w:sz w:val="15"/>
                <w:szCs w:val="15"/>
              </w:rPr>
              <w:t xml:space="preserve">Case Study</w:t>
            </w:r>
          </w:p>
        </w:tc>
        <w:tc>
          <w:tcPr>
            <w:tcW w:type="dxa" w:w="260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center"/>
            </w:pPr>
            <w:r>
              <w:rPr>
                <w:rFonts w:ascii="Calibri" w:cs="Calibri" w:eastAsia="Calibri" w:hAnsi="Calibri"/>
                <w:b/>
                <w:bCs/>
                <w:caps/>
                <w:color w:val="FFFFFF"/>
                <w:sz w:val="15"/>
                <w:szCs w:val="15"/>
              </w:rPr>
              <w:t xml:space="preserve">Score / 100</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1</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2</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3</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4</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pPr>
            <w:r>
              <w:rPr>
                <w:rFonts w:ascii="Calibri" w:cs="Calibri" w:eastAsia="Calibri" w:hAnsi="Calibri"/>
                <w:b/>
                <w:bCs/>
                <w:color w:val="0D274D"/>
                <w:sz w:val="20"/>
                <w:szCs w:val="20"/>
              </w:rPr>
              <w:t xml:space="preserve">Overall total</w:t>
            </w:r>
          </w:p>
        </w:tc>
        <w:tc>
          <w:tcPr>
            <w:tcW w:type="dxa" w:w="260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80" w:before="180" w:line="276"/>
      </w:pPr>
      <w:r>
        <w:rPr>
          <w:rFonts w:ascii="Calibri" w:cs="Calibri" w:eastAsia="Calibri" w:hAnsi="Calibri"/>
          <w:b/>
          <w:bCs/>
          <w:color w:val="0D274D"/>
          <w:sz w:val="30"/>
          <w:szCs w:val="30"/>
        </w:rPr>
        <w:t xml:space="preserve">Overall qualitative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across the clinic</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Priorities to develop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2026-08-03T19:34:15.135Z</dcterms:created>
  <dcterms:modified xsi:type="dcterms:W3CDTF">2026-08-03T19:34:15.135Z</dcterms:modified>
</cp:coreProperties>
</file>

<file path=docProps/custom.xml><?xml version="1.0" encoding="utf-8"?>
<Properties xmlns="http://schemas.openxmlformats.org/officeDocument/2006/custom-properties" xmlns:vt="http://schemas.openxmlformats.org/officeDocument/2006/docPropsVTypes"/>
</file>