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case study is scored across its four pain points, giving a case study score and an overall score for the clinic. Alongside the score, your answers are assessed on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Identify the problem, design the right solution, and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Product glossary</w:t>
      </w:r>
    </w:p>
    <w:p>
      <w:pPr>
        <w:spacing w:after="100" w:before="0" w:line="276"/>
      </w:pPr>
      <w:r>
        <w:rPr>
          <w:rFonts w:ascii="Calibri" w:cs="Calibri" w:eastAsia="Calibri" w:hAnsi="Calibri"/>
          <w:color w:val="3A4C63"/>
          <w:sz w:val="21"/>
          <w:szCs w:val="21"/>
        </w:rPr>
        <w:t xml:space="preserve">Every Cisco product, capability and term used in the clinic. Which product fits which concern is for you to decide.</w:t>
      </w:r>
    </w:p>
    <w:p>
      <w:pPr>
        <w:spacing w:after="50" w:before="150" w:line="276"/>
      </w:pPr>
      <w:r>
        <w:rPr>
          <w:rFonts w:ascii="Calibri" w:cs="Calibri" w:eastAsia="Calibri" w:hAnsi="Calibri"/>
          <w:b/>
          <w:bCs/>
          <w:caps/>
          <w:color w:val="0D274D"/>
          <w:sz w:val="22"/>
          <w:szCs w:val="22"/>
        </w:rPr>
        <w:t xml:space="preserve">Platforms and products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AI Defense</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Secures AI applications and models across build and runtime. It validates models and applications, scans the AI supply chain (models, repositories and MCP servers), discovers AI assets across the cloud, and applies runtime guardrails to prompt and response traffic.</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Multicloud Defense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One security policy plane across public clouds. It provides consistent segmentation, egress control, traffic visibility and policy enforcement across AWS, Azure and GCP, and integrates with AI Defense for cloud runtime enforcement.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Firewall (FTD)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next-generation firewall, Firewall Threat Defense. It delivers perimeter and data-centre enforcement with intrusion prevention, application control and advanced threat detection.</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Firewall Management Center (FMC)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The centralised manager for the Secure Firewall estate, handling policy, logging and reporting across firewalls.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Security Cloud Control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Cloud-delivered management across the firewall and security estate, for unified policy administration and rule cleanup at scale.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Workload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Application-dependency mapping and micro-segmentation. It reveals how workloads actually communicate, then drives safe segmentation policy before it is enforced.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Identity Services Engine (ISE)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Network identity and access control. It knows who and what is on the network and enables rapid, automated quarantine of compromised devices.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Hypershield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AI-native, highly distributed security enforcement. It provides autonomous, in-kernel (eBPF) segmentation and protection for workloads at scale.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Cilium</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Kubernetes networking and policy, giving consistent connectivity and policy enforcement across clusters and environments.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Tetragon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runtime security for workloads, detecting suspicious system and network behaviour in real time.</w:t>
            </w:r>
          </w:p>
        </w:tc>
      </w:tr>
    </w:tbl>
    <w:p>
      <w:pPr>
        <w:spacing w:after="50" w:before="150" w:line="276"/>
      </w:pPr>
      <w:r>
        <w:rPr>
          <w:rFonts w:ascii="Calibri" w:cs="Calibri" w:eastAsia="Calibri" w:hAnsi="Calibri"/>
          <w:b/>
          <w:bCs/>
          <w:caps/>
          <w:color w:val="0D274D"/>
          <w:sz w:val="22"/>
          <w:szCs w:val="22"/>
        </w:rPr>
        <w:t xml:space="preserve">Key capabilities and features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Encrypted Visibility Engine (EVE)</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 Secure Firewall capability that infers threats from encrypted traffic patterns without decrypting the payload.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 Secure Firewall capability that adds machine-learning detection inside the Snort 3 engine to catch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ISE capability: a context-sharing fabric so security tools can act on identity, for example triggering an automatic quarantine.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Adaptive Network Control (ANC)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ISE capability that quarantines or restricts a device in real time when a threat is detected.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Security Group Tags (SGT)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Group-based policy tags (Cisco TrustSec) that enable scalable, identity-aware segmentation.</w:t>
            </w:r>
          </w:p>
        </w:tc>
      </w:tr>
    </w:tbl>
    <w:p>
      <w:pPr>
        <w:spacing w:after="50" w:before="150" w:line="276"/>
      </w:pPr>
      <w:r>
        <w:rPr>
          <w:rFonts w:ascii="Calibri" w:cs="Calibri" w:eastAsia="Calibri" w:hAnsi="Calibri"/>
          <w:b/>
          <w:bCs/>
          <w:caps/>
          <w:color w:val="0D274D"/>
          <w:sz w:val="22"/>
          <w:szCs w:val="22"/>
        </w:rPr>
        <w:t xml:space="preserve">Architecture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approach to consistent security enforcement across firewalls, cloud gateways, workloads and Kubernetes, all managed centrally.</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2026-08-03T19:34:15.062Z</dcterms:created>
  <dcterms:modified xsi:type="dcterms:W3CDTF">2026-08-03T19:34:15.088Z</dcterms:modified>
</cp:coreProperties>
</file>

<file path=docProps/custom.xml><?xml version="1.0" encoding="utf-8"?>
<Properties xmlns="http://schemas.openxmlformats.org/officeDocument/2006/custom-properties" xmlns:vt="http://schemas.openxmlformats.org/officeDocument/2006/docPropsVTypes"/>
</file>