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w:t>
      </w:r>
    </w:p>
    <w:p>
      <w:pPr>
        <w:spacing w:after="60" w:before="0" w:line="276"/>
      </w:pPr>
      <w:r>
        <w:rPr>
          <w:rFonts w:ascii="Calibri" w:cs="Calibri" w:eastAsia="Calibri" w:hAnsi="Calibri"/>
          <w:b/>
          <w:bCs/>
          <w:color w:val="0D274D"/>
          <w:sz w:val="44"/>
          <w:szCs w:val="44"/>
        </w:rPr>
        <w:t xml:space="preserve">Activity Guide</w:t>
      </w:r>
    </w:p>
    <w:p>
      <w:pPr>
        <w:spacing w:after="60" w:before="0" w:line="276"/>
      </w:pPr>
      <w:r>
        <w:rPr>
          <w:rFonts w:ascii="Calibri" w:cs="Calibri" w:eastAsia="Calibri" w:hAnsi="Calibri"/>
          <w:color w:val="3A4C63"/>
          <w:sz w:val="22"/>
          <w:szCs w:val="22"/>
        </w:rPr>
        <w:t xml:space="preserve">A one-page overview of the Cedarline Hybrid Mesh Firewall design exercise.</w:t>
      </w:r>
    </w:p>
    <w:p>
      <w:pPr>
        <w:pBdr>
          <w:bottom w:val="single" w:color="00BCEB" w:sz="18"/>
        </w:pBdr>
        <w:spacing w:after="120"/>
      </w:pPr>
      <w:r>
        <w:rPr>
          <w:rFonts w:ascii="Calibri" w:cs="Calibri" w:eastAsia="Calibri" w:hAnsi="Calibri"/>
          <w:color w:val="14263A"/>
          <w:sz w:val="2"/>
          <w:szCs w:val="2"/>
        </w:rPr>
        <w:t xml:space="preserve"/>
      </w:r>
    </w:p>
    <w:p>
      <w:pPr>
        <w:spacing w:after="60" w:before="160" w:line="276"/>
      </w:pPr>
      <w:r>
        <w:rPr>
          <w:rFonts w:ascii="Calibri" w:cs="Calibri" w:eastAsia="Calibri" w:hAnsi="Calibri"/>
          <w:b/>
          <w:bCs/>
          <w:color w:val="0D274D"/>
          <w:sz w:val="24"/>
          <w:szCs w:val="24"/>
        </w:rPr>
        <w:t xml:space="preserve">The scenario</w:t>
      </w:r>
    </w:p>
    <w:p>
      <w:pPr>
        <w:spacing w:after="120" w:before="0" w:line="276"/>
      </w:pPr>
      <w:r>
        <w:rPr>
          <w:rFonts w:ascii="Calibri" w:cs="Calibri" w:eastAsia="Calibri" w:hAnsi="Calibri"/>
          <w:color w:val="33465F"/>
          <w:sz w:val="21"/>
          <w:szCs w:val="21"/>
        </w:rPr>
        <w:t xml:space="preserve">Cedarline Health Group is a regional healthcare payer-provider —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 and leadership still cannot answer. Budget and executive attention are approved, but explicitly temporary, and the security team is small.</w:t>
      </w:r>
    </w:p>
    <w:p>
      <w:pPr>
        <w:spacing w:after="60" w:before="160" w:line="276"/>
      </w:pPr>
      <w:r>
        <w:rPr>
          <w:rFonts w:ascii="Calibri" w:cs="Calibri" w:eastAsia="Calibri" w:hAnsi="Calibri"/>
          <w:b/>
          <w:bCs/>
          <w:color w:val="0D274D"/>
          <w:sz w:val="24"/>
          <w:szCs w:val="24"/>
        </w:rPr>
        <w:t xml:space="preserve">Your role</w:t>
      </w:r>
    </w:p>
    <w:p>
      <w:pPr>
        <w:spacing w:after="120" w:before="0" w:line="276"/>
      </w:pPr>
      <w:r>
        <w:rPr>
          <w:rFonts w:ascii="Calibri" w:cs="Calibri" w:eastAsia="Calibri" w:hAnsi="Calibri"/>
          <w:color w:val="33465F"/>
          <w:sz w:val="21"/>
          <w:szCs w:val="21"/>
        </w:rPr>
        <w:t xml:space="preserve">Your team acts as Cisco Solution Engineers. Work each Case Study below: for every pain point, name the Cisco product/platform that fits and write the Solution-Engineer response — how it addresses Cedarline's concern and how it helps — then bring it together as a Hybrid Mesh Firewall design.</w:t>
      </w:r>
    </w:p>
    <w:p>
      <w:pPr>
        <w:spacing w:after="60" w:before="160" w:line="276"/>
      </w:pPr>
      <w:r>
        <w:rPr>
          <w:rFonts w:ascii="Calibri" w:cs="Calibri" w:eastAsia="Calibri" w:hAnsi="Calibri"/>
          <w:b/>
          <w:bCs/>
          <w:color w:val="0D274D"/>
          <w:sz w:val="24"/>
          <w:szCs w:val="24"/>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6"/>
                <w:szCs w:val="26"/>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1"/>
                <w:szCs w:val="21"/>
              </w:rPr>
              <w:t xml:space="preserve">Case Study 1 — AI Security</w:t>
            </w:r>
          </w:p>
          <w:p>
            <w:pPr>
              <w:spacing w:after="0" w:before="0" w:line="276"/>
            </w:pPr>
            <w:r>
              <w:rPr>
                <w:rFonts w:ascii="Calibri" w:cs="Calibri" w:eastAsia="Calibri" w:hAnsi="Calibri"/>
                <w:color w:val="3A4C63"/>
                <w:sz w:val="19"/>
                <w:szCs w:val="19"/>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6"/>
                <w:szCs w:val="26"/>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1"/>
                <w:szCs w:val="21"/>
              </w:rPr>
              <w:t xml:space="preserve">Case Study 2 — Cloud Edge</w:t>
            </w:r>
          </w:p>
          <w:p>
            <w:pPr>
              <w:spacing w:after="0" w:before="0" w:line="276"/>
            </w:pPr>
            <w:r>
              <w:rPr>
                <w:rFonts w:ascii="Calibri" w:cs="Calibri" w:eastAsia="Calibri" w:hAnsi="Calibri"/>
                <w:color w:val="3A4C63"/>
                <w:sz w:val="19"/>
                <w:szCs w:val="19"/>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6"/>
                <w:szCs w:val="26"/>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1"/>
                <w:szCs w:val="21"/>
              </w:rPr>
              <w:t xml:space="preserve">Case Study 3 — DC Edge — Perimeter Firewall</w:t>
            </w:r>
          </w:p>
          <w:p>
            <w:pPr>
              <w:spacing w:after="0" w:before="0" w:line="276"/>
            </w:pPr>
            <w:r>
              <w:rPr>
                <w:rFonts w:ascii="Calibri" w:cs="Calibri" w:eastAsia="Calibri" w:hAnsi="Calibri"/>
                <w:color w:val="3A4C63"/>
                <w:sz w:val="19"/>
                <w:szCs w:val="19"/>
              </w:rPr>
              <w:t xml:space="preserve">A mixed-vendor perimeter, an inherited rulebase and mostly-encrypted traffic leave blind spots and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6"/>
                <w:szCs w:val="26"/>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1"/>
                <w:szCs w:val="21"/>
              </w:rPr>
              <w:t xml:space="preserve">Case Study 4 — Macro &amp; Micro Segmentation</w:t>
            </w:r>
          </w:p>
          <w:p>
            <w:pPr>
              <w:spacing w:after="0" w:before="0" w:line="276"/>
            </w:pPr>
            <w:r>
              <w:rPr>
                <w:rFonts w:ascii="Calibri" w:cs="Calibri" w:eastAsia="Calibri" w:hAnsi="Calibri"/>
                <w:color w:val="3A4C63"/>
                <w:sz w:val="19"/>
                <w:szCs w:val="19"/>
              </w:rPr>
              <w:t xml:space="preserve">A flat data centre and fragmented Kubernetes networking invite east-west movement. Build segmentation Cedarline can adopt safely — with runtime visibility and application-dependency awareness so nothing breaks.</w:t>
            </w:r>
          </w:p>
        </w:tc>
      </w:tr>
    </w:tbl>
    <w:p>
      <w:pPr>
        <w:spacing w:after="60" w:before="160" w:line="276"/>
      </w:pPr>
      <w:r>
        <w:rPr>
          <w:rFonts w:ascii="Calibri" w:cs="Calibri" w:eastAsia="Calibri" w:hAnsi="Calibri"/>
          <w:b/>
          <w:bCs/>
          <w:color w:val="0D274D"/>
          <w:sz w:val="24"/>
          <w:szCs w:val="24"/>
        </w:rPr>
        <w:t xml:space="preserve">How to run it</w:t>
      </w:r>
    </w:p>
    <w:p>
      <w:pPr>
        <w:spacing w:after="120" w:before="0" w:line="276"/>
      </w:pPr>
      <w:r>
        <w:rPr>
          <w:rFonts w:ascii="Calibri" w:cs="Calibri" w:eastAsia="Calibri" w:hAnsi="Calibri"/>
          <w:color w:val="3A4C63"/>
          <w:sz w:val="21"/>
          <w:szCs w:val="21"/>
        </w:rPr>
        <w:t xml:space="preserve">•  Teams of 3–5. Each team gets a </w:t>
      </w:r>
      <w:r>
        <w:rPr>
          <w:rFonts w:ascii="Calibri" w:cs="Calibri" w:eastAsia="Calibri" w:hAnsi="Calibri"/>
          <w:b/>
          <w:bCs/>
          <w:color w:val="0D274D"/>
          <w:sz w:val="21"/>
          <w:szCs w:val="21"/>
        </w:rPr>
        <w:t xml:space="preserve">Team Workbook</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Work all four Case Studies — four pain points each. For every pain point, name the </w:t>
      </w:r>
      <w:r>
        <w:rPr>
          <w:rFonts w:ascii="Calibri" w:cs="Calibri" w:eastAsia="Calibri" w:hAnsi="Calibri"/>
          <w:b/>
          <w:bCs/>
          <w:color w:val="0D274D"/>
          <w:sz w:val="21"/>
          <w:szCs w:val="21"/>
        </w:rPr>
        <w:t xml:space="preserve">product/platform</w:t>
      </w:r>
      <w:r>
        <w:rPr>
          <w:rFonts w:ascii="Calibri" w:cs="Calibri" w:eastAsia="Calibri" w:hAnsi="Calibri"/>
          <w:color w:val="3A4C63"/>
          <w:sz w:val="21"/>
          <w:szCs w:val="21"/>
        </w:rPr>
        <w:t xml:space="preserve"> and write the Solution-Engineer response (how it addresses the concern and how it helps).</w:t>
      </w:r>
    </w:p>
    <w:p>
      <w:pPr>
        <w:spacing w:after="120" w:before="0" w:line="276"/>
      </w:pPr>
      <w:r>
        <w:rPr>
          <w:rFonts w:ascii="Calibri" w:cs="Calibri" w:eastAsia="Calibri" w:hAnsi="Calibri"/>
          <w:color w:val="3A4C63"/>
          <w:sz w:val="21"/>
          <w:szCs w:val="21"/>
        </w:rPr>
        <w:t xml:space="preserve">•  Finish by combining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 paste/draw it on the last page of the workbook.</w:t>
      </w:r>
    </w:p>
    <w:p>
      <w:pPr>
        <w:spacing w:after="120" w:before="0" w:line="276"/>
      </w:pPr>
      <w:r>
        <w:rPr>
          <w:rFonts w:ascii="Calibri" w:cs="Calibri" w:eastAsia="Calibri" w:hAnsi="Calibri"/>
          <w:color w:val="3A4C63"/>
          <w:sz w:val="21"/>
          <w:szCs w:val="21"/>
        </w:rPr>
        <w:t xml:space="preserve">•  Suggested timing: ~10 min per Case Study, ~15 min for the topology and readout.</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60" w:before="160" w:line="276"/>
      </w:pPr>
      <w:r>
        <w:rPr>
          <w:rFonts w:ascii="Calibri" w:cs="Calibri" w:eastAsia="Calibri" w:hAnsi="Calibri"/>
          <w:b/>
          <w:bCs/>
          <w:color w:val="0D274D"/>
          <w:sz w:val="24"/>
          <w:szCs w:val="24"/>
        </w:rPr>
        <w:t xml:space="preserve">Scoring — by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25 points per pain point → 100 per Case Study → 400 total.  </w:t>
            </w:r>
            <w:r>
              <w:rPr>
                <w:rFonts w:ascii="Calibri" w:cs="Calibri" w:eastAsia="Calibri" w:hAnsi="Calibri"/>
                <w:color w:val="33465F"/>
                <w:sz w:val="21"/>
                <w:szCs w:val="21"/>
              </w:rPr>
              <w:t xml:space="preserve">Each answer is graded at one of three levels — marks reward an appropriate product and Solution-Engineer reasoning specific to Cedarline, not generic statements.</w:t>
            </w:r>
          </w:p>
        </w:tc>
      </w:tr>
    </w:tbl>
    <w:p>
      <w:pPr>
        <w:spacing w:after="12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E2891F" w:sz="34"/>
              <w:left w:val="single" w:color="C4D2E2" w:sz="6"/>
              <w:bottom w:val="single" w:color="C4D2E2" w:sz="6"/>
              <w:right w:val="single" w:color="C4D2E2" w:sz="6"/>
            </w:tcBorders>
            <w:tcMar>
              <w:top w:type="dxa" w:w="110"/>
              <w:left w:type="dxa" w:w="150"/>
              <w:bottom w:type="dxa" w:w="110"/>
              <w:right w:type="dxa" w:w="150"/>
            </w:tcMar>
            <w:vAlign w:val="top"/>
          </w:tcPr>
          <w:p>
            <w:pPr>
              <w:spacing w:after="40" w:before="0" w:line="276"/>
            </w:pPr>
            <w:r>
              <w:rPr>
                <w:rFonts w:ascii="Calibri" w:cs="Calibri" w:eastAsia="Calibri" w:hAnsi="Calibri"/>
                <w:b/>
                <w:bCs/>
                <w:color w:val="B4711A"/>
                <w:sz w:val="20"/>
                <w:szCs w:val="20"/>
              </w:rPr>
              <w:t xml:space="preserve">Associate</w:t>
            </w:r>
            <w:r>
              <w:rPr>
                <w:rFonts w:ascii="Calibri" w:cs="Calibri" w:eastAsia="Calibri" w:hAnsi="Calibri"/>
                <w:color w:val="7E8CA1"/>
                <w:sz w:val="15"/>
                <w:szCs w:val="15"/>
              </w:rPr>
              <w:t xml:space="preserve">  6–13</w:t>
            </w:r>
          </w:p>
          <w:p>
            <w:pPr>
              <w:spacing w:after="0" w:before="0" w:line="276"/>
            </w:pPr>
            <w:r>
              <w:rPr>
                <w:rFonts w:ascii="Calibri" w:cs="Calibri" w:eastAsia="Calibri" w:hAnsi="Calibri"/>
                <w:color w:val="33465F"/>
                <w:sz w:val="18"/>
                <w:szCs w:val="18"/>
              </w:rPr>
              <w:t xml:space="preserve">Name the right product and show you understand the problem.</w:t>
            </w:r>
          </w:p>
        </w:tc>
        <w:tc>
          <w:tcPr>
            <w:tcW w:type="dxa" w:w="3120"/>
            <w:tcBorders>
              <w:top w:val="single" w:color="00BCEB" w:sz="34"/>
              <w:left w:val="single" w:color="C4D2E2" w:sz="6"/>
              <w:bottom w:val="single" w:color="C4D2E2" w:sz="6"/>
              <w:right w:val="single" w:color="C4D2E2" w:sz="6"/>
            </w:tcBorders>
            <w:tcMar>
              <w:top w:type="dxa" w:w="110"/>
              <w:left w:type="dxa" w:w="150"/>
              <w:bottom w:type="dxa" w:w="110"/>
              <w:right w:type="dxa" w:w="150"/>
            </w:tcMar>
            <w:vAlign w:val="top"/>
          </w:tcPr>
          <w:p>
            <w:pPr>
              <w:spacing w:after="40" w:before="0" w:line="276"/>
            </w:pPr>
            <w:r>
              <w:rPr>
                <w:rFonts w:ascii="Calibri" w:cs="Calibri" w:eastAsia="Calibri" w:hAnsi="Calibri"/>
                <w:b/>
                <w:bCs/>
                <w:color w:val="036C8F"/>
                <w:sz w:val="20"/>
                <w:szCs w:val="20"/>
              </w:rPr>
              <w:t xml:space="preserve">Professional</w:t>
            </w:r>
            <w:r>
              <w:rPr>
                <w:rFonts w:ascii="Calibri" w:cs="Calibri" w:eastAsia="Calibri" w:hAnsi="Calibri"/>
                <w:color w:val="7E8CA1"/>
                <w:sz w:val="15"/>
                <w:szCs w:val="15"/>
              </w:rPr>
              <w:t xml:space="preserve">  14–20</w:t>
            </w:r>
          </w:p>
          <w:p>
            <w:pPr>
              <w:spacing w:after="0" w:before="0" w:line="276"/>
            </w:pPr>
            <w:r>
              <w:rPr>
                <w:rFonts w:ascii="Calibri" w:cs="Calibri" w:eastAsia="Calibri" w:hAnsi="Calibri"/>
                <w:color w:val="33465F"/>
                <w:sz w:val="18"/>
                <w:szCs w:val="18"/>
              </w:rPr>
              <w:t xml:space="preserve">Also explain how the product addresses the concern.</w:t>
            </w:r>
          </w:p>
        </w:tc>
        <w:tc>
          <w:tcPr>
            <w:tcW w:type="dxa" w:w="3120"/>
            <w:tcBorders>
              <w:top w:val="single" w:color="27A276" w:sz="34"/>
              <w:left w:val="single" w:color="C4D2E2" w:sz="6"/>
              <w:bottom w:val="single" w:color="C4D2E2" w:sz="6"/>
              <w:right w:val="single" w:color="C4D2E2" w:sz="6"/>
            </w:tcBorders>
            <w:tcMar>
              <w:top w:type="dxa" w:w="110"/>
              <w:left w:type="dxa" w:w="150"/>
              <w:bottom w:type="dxa" w:w="110"/>
              <w:right w:type="dxa" w:w="150"/>
            </w:tcMar>
            <w:vAlign w:val="top"/>
          </w:tcPr>
          <w:p>
            <w:pPr>
              <w:spacing w:after="40" w:before="0" w:line="276"/>
            </w:pPr>
            <w:r>
              <w:rPr>
                <w:rFonts w:ascii="Calibri" w:cs="Calibri" w:eastAsia="Calibri" w:hAnsi="Calibri"/>
                <w:b/>
                <w:bCs/>
                <w:color w:val="1F8A63"/>
                <w:sz w:val="20"/>
                <w:szCs w:val="20"/>
              </w:rPr>
              <w:t xml:space="preserve">Expert</w:t>
            </w:r>
            <w:r>
              <w:rPr>
                <w:rFonts w:ascii="Calibri" w:cs="Calibri" w:eastAsia="Calibri" w:hAnsi="Calibri"/>
                <w:color w:val="7E8CA1"/>
                <w:sz w:val="15"/>
                <w:szCs w:val="15"/>
              </w:rPr>
              <w:t xml:space="preserve">  21–25</w:t>
            </w:r>
          </w:p>
          <w:p>
            <w:pPr>
              <w:spacing w:after="0" w:before="0" w:line="276"/>
            </w:pPr>
            <w:r>
              <w:rPr>
                <w:rFonts w:ascii="Calibri" w:cs="Calibri" w:eastAsia="Calibri" w:hAnsi="Calibri"/>
                <w:color w:val="33465F"/>
                <w:sz w:val="18"/>
                <w:szCs w:val="18"/>
              </w:rPr>
              <w:t xml:space="preserve">Also tie it to Cedarline's specifics and the outcome, and how it fits the wider HMF design.</w:t>
            </w:r>
          </w:p>
        </w:tc>
      </w:tr>
    </w:tbl>
    <w:p>
      <w:pPr>
        <w:spacing w:after="0" w:before="120" w:line="276"/>
      </w:pPr>
      <w:r>
        <w:rPr>
          <w:rFonts w:ascii="Calibri" w:cs="Calibri" w:eastAsia="Calibri" w:hAnsi="Calibri"/>
          <w:color w:val="7E8CA1"/>
          <w:sz w:val="17"/>
          <w:szCs w:val="17"/>
        </w:rPr>
        <w:t xml:space="preserve">Bands: Case Study /100 — Associate 40–64 · Professional 65–84 · Expert 85–100. Overall /400 — Associate 160–259 · Professional 260–339 · Expert 340–400. The proctor grades from the Proctor Guide and Proctor Grading Guide.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2026-07-29T03:29:51.942Z</dcterms:created>
  <dcterms:modified xsi:type="dcterms:W3CDTF">2026-07-29T03:29:51.942Z</dcterms:modified>
</cp:coreProperties>
</file>

<file path=docProps/custom.xml><?xml version="1.0" encoding="utf-8"?>
<Properties xmlns="http://schemas.openxmlformats.org/officeDocument/2006/custom-properties" xmlns:vt="http://schemas.openxmlformats.org/officeDocument/2006/docPropsVTypes"/>
</file>