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libri" w:cs="Calibri" w:eastAsia="Calibri" w:hAnsi="Calibri"/>
          <w:b/>
          <w:bCs/>
          <w:caps/>
          <w:color w:val="036C8F"/>
          <w:sz w:val="16"/>
          <w:szCs w:val="16"/>
        </w:rPr>
        <w:t xml:space="preserve">Cisco Secure · HMF Design Clinic · Facilitator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0D274D"/>
          <w:sz w:val="44"/>
          <w:szCs w:val="44"/>
        </w:rPr>
        <w:t xml:space="preserve">Proctor Cheat Sheet</w:t>
      </w:r>
    </w:p>
    <w:p>
      <w:pPr>
        <w:spacing w:after="160" w:before="0" w:line="276"/>
      </w:pPr>
      <w:r>
        <w:rPr>
          <w:rFonts w:ascii="Calibri" w:cs="Calibri" w:eastAsia="Calibri" w:hAnsi="Calibri"/>
          <w:color w:val="3A4C63"/>
          <w:sz w:val="21"/>
          <w:szCs w:val="21"/>
        </w:rPr>
        <w:t xml:space="preserve">At-a-glance answer key — expected product and the SE reasoning that earns marks, for all 16 pain points. Score each pain point /25 → 100 per Case Study → 400 total.</w:t>
      </w:r>
    </w:p>
    <w:tbl>
      <w:tblPr>
        <w:tblW w:type="dxa" w:w="13680"/>
        <w:tblBorders>
          <w:top w:val="single" w:color="C4D2E2" w:sz="6"/>
          <w:left w:val="single" w:color="C4D2E2" w:sz="6"/>
          <w:bottom w:val="single" w:color="C4D2E2" w:sz="6"/>
          <w:right w:val="single" w:color="C4D2E2" w:sz="6"/>
          <w:insideH w:val="none" w:color="FFFFFF" w:sz="0"/>
          <w:insideV w:val="none" w:color="FFFFFF" w:sz="0"/>
        </w:tblBorders>
      </w:tblPr>
      <w:tblGrid>
        <w:gridCol w:w="4600"/>
        <w:gridCol w:w="3400"/>
        <w:gridCol w:w="5680"/>
      </w:tblGrid>
      <w:tr>
        <w:trPr>
          <w:tblHeader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Pain point (customer concern)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Expected product</w:t>
            </w:r>
          </w:p>
        </w:tc>
        <w:tc>
          <w:tcPr>
            <w:tcW w:type="dxa" w:w="5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Key SE reasoning</w:t>
            </w:r>
          </w:p>
        </w:tc>
      </w:tr>
      <w:tr>
        <w:tc>
          <w:tcPr>
            <w:tcW w:type="dxa" w:w="13680"/>
            <w:gridSpan w:val="3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9"/>
                <w:szCs w:val="19"/>
              </w:rPr>
              <w:t xml:space="preserve">Case Study 1 · AI Security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Under the EU AI Act, we are classified as a 'Provider' for our internal AI systems. We need to demonstrate robustness and cybersecurity compliance to satisfy Article…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AI Defense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AI Model and Application Validation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Cisco AI Defense is specifically designed to support Provider obligations under the EU AI Act. We utilize algorithmic red teaming technology for AI Model &amp; App Validation, which identifies safety…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We are integrating various open-source models and third-party agents into our internal workflows. How can we ensure these assets aren't introducing vulnerabilities…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AI Defense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Supply Chain Risk Management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Cisco AI Defense addresses this through proactive Supply Chain Risk Management. We scan your model files, repositories, and MCP servers to identify malicious or unsafe assets. By integrating this…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We know AI is showing up across our cloud environments faster than security can track it. We're worried we have models, agents, datasets, and MCP-connected tools…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Cisco AI Defense - AI Cloud Visibility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Ai Cloud Visibility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With AI Cloud Visibility, Cisco AI Defense continuously discovers AI assets across distributed cloud environments, including models, agents, datasets, MCP servers, and agent-to-tool workflows.…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We're running AI workloads in cloud accounts, but we don't have a reliable way to see which models and AI assets are actually in use. We're also concerned about…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AI Defense = AI visibility and guardrail integration
Multicloud Defense = cloud account connection, traffic visibility, policy attachment, and egress enforcement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AI Runtime Protection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Cisco AI Defense uses the integration to discover AI assets in your cloud environments and identify external AI destinations your workloads are calling. Then Cisco Multicloud Defense provides the…</w:t>
            </w:r>
          </w:p>
        </w:tc>
      </w:tr>
      <w:tr>
        <w:tc>
          <w:tcPr>
            <w:tcW w:type="dxa" w:w="13680"/>
            <w:gridSpan w:val="3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9"/>
                <w:szCs w:val="19"/>
              </w:rPr>
              <w:t xml:space="preserve">Case Study 2 · Cloud Edge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If a breach occurs in one of our public cloud instances, we are terrified that the attacker will move laterally into our core on-premises systems. How can we contain…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Multicloud Defense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Multicloud Defense Gateways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Multicloud Defense leverages macro and micro-segmentation capabilities to enforce strict communication boundaries. By integrating with our Hybrid Mesh Firewall and Hypershield, we can isolate…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Our auditors require proof that our security controls are applied consistently across all our cloud workloads. Gathering this data from different cloud providers is a…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Multicloud Defense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Multicloud Defense Visibility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Cisco Multicloud Defense provides unified logging and traceability. Because our security framework is integrated across the network fabric, you can generate consolidated reports that map directly…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We have workloads spread across AWS, Azure, and on-premises data centers. Managing security policies individually in each cloud environment is creating massive…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Multicloud Defense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Unified Security across public clouds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Cisco Multicloud Defense, integrated within our Hybrid Mesh Firewall architecture, provides a unified control plane. You can define security policies once via Security Cloud Control and enforce…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We have workloads on-prem, in cloud, and in mixed environments, and policy consistency is becoming difficult. Every environment feels different, and we're worried…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Cisco Secure Workload
Cisco Secure Firewall
Cisco Secure Firewall Management Center (FMC)
Cisco Security Cloud Control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Secure Workload Integration with Secure Firewall Management Center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That's a common hybrid environment challenge. Cisco Secure Workload helps create a more unified segmentation model by using application dependency awareness and AI/ML-driven policy discovery to…</w:t>
            </w:r>
          </w:p>
        </w:tc>
      </w:tr>
      <w:tr>
        <w:tc>
          <w:tcPr>
            <w:tcW w:type="dxa" w:w="13680"/>
            <w:gridSpan w:val="3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9"/>
                <w:szCs w:val="19"/>
              </w:rPr>
              <w:t xml:space="preserve">Case Study 3 · DC Edge — Perimeter Firewall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When our security tools detect a compromised device, our manual response time is too slow. By the time we identify the user and manually isolate the port, the attacker…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ISE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Security Group Tags (pxGrid integration)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Cisco ISE integrates with your security ecosystem via pxGrid and Adaptive Network Control (ANC). When a threat is detected, ISE can automatically trigger a quarantine policy, isolating the…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Our firewall environment has become too complex to manage manually.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Cisco Security Cloud Control, FMC, FTD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Unified Policy Administration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Cisco applies AI-driven analysis to firewall telemetry and policy data to surface optimization opportunities, reduce manual troubleshooting, and guide cleaner policy administration.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Most of our traffic is encrypted, so we've lost visibility into a huge part of our environment.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Cisco Secure Firewall (FTD), FMC, Security Cloud Control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EVE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Encrypted Visibility Engine (EVE) uses AI/ML-based fingerprinting to analyze encrypted traffic patterns and identify suspicious behavior without decrypting the payload.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We're worried traditional signature-based detection won't catch new or unknown attacks quickly enough.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Cisco Secure Firewall (FTD), FMC, Security Cloud Control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Snort ML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It adds machine-learning-based detection inside the Snort 3 engine to identify exploit behavior associated with unknown/zero-day threats.</w:t>
            </w:r>
          </w:p>
        </w:tc>
      </w:tr>
      <w:tr>
        <w:tc>
          <w:tcPr>
            <w:tcW w:type="dxa" w:w="13680"/>
            <w:gridSpan w:val="3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9"/>
                <w:szCs w:val="19"/>
              </w:rPr>
              <w:t xml:space="preserve">Case Study 4 · Macro &amp; Micro Segmentation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Network policy helps, but we also need to know what's happening at runtime inside the workload. We need better detection of suspicious behavior and policy violations.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Isovalent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Tetragon Runtime Security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That's where Tetragon comes in. Tetragon extends the value of Cilium by providing eBPF-based runtime security and threat detection. It monitors system-level activity and network behavior in real…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Our Kubernetes networking feels fragmented across clusters and environments. We're dealing with too many moving parts, inconsistent policies, and too much operational…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—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Cilium Networking Policies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Cilium provides a modern, eBPF-based Kubernetes networking layer that gives you consistent connectivity, policy enforcement, and visibility across clusters and environments. Instead of relying on…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Right now we're stitching together separate tools for networking, security, and observability in Kubernetes, and it's creating too much overhead.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cilium and tetragon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63A"/>
                <w:sz w:val="2"/>
                <w:szCs w:val="2"/>
              </w:rPr>
              <w:t xml:space="preserve"/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With Cilium for networking and policy, and Tetragon for runtime security, you get a more unified platform for connectivity, segmentation, observability, and security. This helps reduce tool sprawl…</w:t>
            </w:r>
          </w:p>
        </w:tc>
      </w:tr>
      <w:tr>
        <w:tc>
          <w:tcPr>
            <w:tcW w:type="dxa" w:w="46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We know we need microsegmentation, but we don't have enough visibility into east-west flows or application dependencies to create policy safely. We don't want to break…</w:t>
            </w:r>
          </w:p>
        </w:tc>
        <w:tc>
          <w:tcPr>
            <w:tcW w:type="dxa" w:w="34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36C8F"/>
                <w:sz w:val="18"/>
                <w:szCs w:val="18"/>
              </w:rPr>
              <w:t xml:space="preserve">Cisco Secure Workload
Cisco Secure Firewall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7E8CA1"/>
                <w:sz w:val="15"/>
                <w:szCs w:val="15"/>
              </w:rPr>
              <w:t xml:space="preserve">Application dependency mapping</w:t>
            </w:r>
          </w:p>
        </w:tc>
        <w:tc>
          <w:tcPr>
            <w:tcW w:type="dxa" w:w="568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That's one of the biggest reasons customers adopt Cisco Secure Workload. It gives you deep visibility into workload communication and application dependency mapping, so you can see how applications…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4263A"/>
          <w:sz w:val="2"/>
          <w:szCs w:val="2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DCE6F1" w:sz="6"/>
              <w:left w:val="single" w:color="DCE6F1" w:sz="6"/>
              <w:bottom w:val="single" w:color="DCE6F1" w:sz="6"/>
              <w:right w:val="single" w:color="DCE6F1" w:sz="6"/>
            </w:tcBorders>
            <w:shd w:fill="F3F7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Fast scoring:  </w:t>
            </w:r>
            <w:r>
              <w:rPr>
                <w:rFonts w:ascii="Calibri" w:cs="Calibri" w:eastAsia="Calibri" w:hAnsi="Calibri"/>
                <w:color w:val="33465F"/>
                <w:sz w:val="20"/>
                <w:szCs w:val="20"/>
              </w:rPr>
              <w:t xml:space="preserve">full 25 = right product + Cedarline-specific reasoning + how it helps · ~18 = right product, generic reasoning · ~10 = product OR reasoning, not both · 0 = blank/off-topic.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2026-07-29T03:29:51.939Z</dcterms:created>
  <dcterms:modified xsi:type="dcterms:W3CDTF">2026-07-29T03:29:51.939Z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