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76"/>
      </w:pPr>
      <w:r>
        <w:rPr>
          <w:rFonts w:ascii="Calibri" w:cs="Calibri" w:eastAsia="Calibri" w:hAnsi="Calibri"/>
          <w:b/>
          <w:bCs/>
          <w:caps/>
          <w:color w:val="036C8F"/>
          <w:sz w:val="16"/>
          <w:szCs w:val="16"/>
        </w:rPr>
        <w:t xml:space="preserve">Cisco Secure · HMF Design Clinic · Facilitator</w:t>
      </w:r>
    </w:p>
    <w:p>
      <w:pPr>
        <w:spacing w:after="60" w:before="0" w:line="276"/>
      </w:pPr>
      <w:r>
        <w:rPr>
          <w:rFonts w:ascii="Calibri" w:cs="Calibri" w:eastAsia="Calibri" w:hAnsi="Calibri"/>
          <w:b/>
          <w:bCs/>
          <w:color w:val="0D274D"/>
          <w:sz w:val="44"/>
          <w:szCs w:val="44"/>
        </w:rPr>
        <w:t xml:space="preserve">Proctor Guide</w:t>
      </w:r>
    </w:p>
    <w:p>
      <w:pPr>
        <w:spacing w:after="160" w:before="0" w:line="276"/>
      </w:pPr>
      <w:r>
        <w:rPr>
          <w:rFonts w:ascii="Calibri" w:cs="Calibri" w:eastAsia="Calibri" w:hAnsi="Calibri"/>
          <w:color w:val="3A4C63"/>
          <w:sz w:val="24"/>
          <w:szCs w:val="24"/>
        </w:rPr>
        <w:t xml:space="preserve">Reference answers &amp; scoring — Case Studies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0" w:hRule="atLeast"/>
        </w:trPr>
        <w:tc>
          <w:tcPr>
            <w:tcW w:type="dxa" w:w="9360"/>
            <w:tcBorders>
              <w:top w:val="single" w:color="DCE6F1" w:sz="6"/>
              <w:left w:val="single" w:color="DCE6F1" w:sz="6"/>
              <w:bottom w:val="single" w:color="DCE6F1" w:sz="6"/>
              <w:right w:val="single" w:color="DCE6F1" w:sz="6"/>
            </w:tcBorders>
            <w:shd w:fill="F3F7FB" w:color="auto" w:val="clear"/>
            <w:tcMar>
              <w:top w:type="dxa" w:w="120"/>
              <w:left w:type="dxa" w:w="160"/>
              <w:bottom w:type="dxa" w:w="120"/>
              <w:right w:type="dxa" w:w="160"/>
            </w:tcMar>
            <w:vAlign w:val="top"/>
          </w:tcPr>
          <w:p>
            <w:pPr>
              <w:spacing w:after="0" w:before="0" w:line="276"/>
            </w:pPr>
            <w:r>
              <w:rPr>
                <w:rFonts w:ascii="Calibri" w:cs="Calibri" w:eastAsia="Calibri" w:hAnsi="Calibri"/>
                <w:color w:val="33465F"/>
                <w:sz w:val="21"/>
                <w:szCs w:val="21"/>
              </w:rPr>
              <w:t xml:space="preserve">Cedarline Health Group is a regional healthcare payer-provider — roughly 8,000 employees across four hospitals and thirty-one clinics, plus a claims-processing business that handles the money. Growth by acquisition (including a second data centre absorbed as-is) and a mid-flight, disorderly move to public cloud have left a fragmented security posture. After a security incident in March, the board asked what would have stopped it — and leadership still cannot answer. Budget and executive attention are approved, but explicitly temporary, and the security team is small.</w:t>
            </w:r>
          </w:p>
        </w:tc>
      </w:tr>
    </w:tbl>
    <w:p>
      <w:pPr>
        <w:spacing w:after="120"/>
      </w:pPr>
      <w:r>
        <w:rPr>
          <w:rFonts w:ascii="Calibri" w:cs="Calibri" w:eastAsia="Calibri" w:hAnsi="Calibri"/>
          <w:color w:val="14263A"/>
          <w:sz w:val="2"/>
          <w:szCs w:val="2"/>
        </w:rPr>
        <w:t xml:space="preserve"/>
      </w:r>
    </w:p>
    <w:p>
      <w:pPr>
        <w:spacing w:after="120" w:before="0" w:line="276"/>
      </w:pPr>
      <w:r>
        <w:rPr>
          <w:rFonts w:ascii="Calibri" w:cs="Calibri" w:eastAsia="Calibri" w:hAnsi="Calibri"/>
          <w:color w:val="3A4C63"/>
          <w:sz w:val="21"/>
          <w:szCs w:val="21"/>
        </w:rPr>
        <w:t xml:space="preserve">Use this guide to grade each team's workbook. For every pain point you'll find the expected product/platform, a model Solution-Engineer response, how it helps, and the level cues (Associate / Professional / Expert). Score each Case Study out of 100 (25 per pain point); 400 total.</w:t>
      </w:r>
    </w:p>
    <w:p>
      <w:pPr>
        <w:pageBreakBefore/>
        <w:spacing w:after="0" w:before="0" w:line="276"/>
      </w:pPr>
    </w:p>
    <w:p>
      <w:pPr>
        <w:spacing w:after="40" w:before="0" w:line="276"/>
      </w:pPr>
      <w:r>
        <w:rPr>
          <w:rFonts w:ascii="Calibri" w:cs="Calibri" w:eastAsia="Calibri" w:hAnsi="Calibri"/>
          <w:b/>
          <w:bCs/>
          <w:caps/>
          <w:color w:val="036C8F"/>
          <w:sz w:val="16"/>
          <w:szCs w:val="16"/>
        </w:rPr>
        <w:t xml:space="preserve">Grading at a glance</w:t>
      </w:r>
    </w:p>
    <w:p>
      <w:pPr>
        <w:pBdr>
          <w:bottom w:val="single" w:color="00BCEB" w:sz="18"/>
        </w:pBdr>
        <w:spacing w:after="120"/>
      </w:pPr>
      <w:r>
        <w:rPr>
          <w:rFonts w:ascii="Calibri" w:cs="Calibri" w:eastAsia="Calibri" w:hAnsi="Calibri"/>
          <w:color w:val="14263A"/>
          <w:sz w:val="2"/>
          <w:szCs w:val="2"/>
        </w:rPr>
        <w:t xml:space="preserve"/>
      </w:r>
    </w:p>
    <w:p>
      <w:pPr>
        <w:spacing w:after="80" w:before="0" w:line="276"/>
      </w:pPr>
      <w:r>
        <w:rPr>
          <w:rFonts w:ascii="Calibri" w:cs="Calibri" w:eastAsia="Calibri" w:hAnsi="Calibri"/>
          <w:b/>
          <w:bCs/>
          <w:color w:val="0D274D"/>
          <w:sz w:val="30"/>
          <w:szCs w:val="30"/>
        </w:rPr>
        <w:t xml:space="preserve">Score each pain point by level (0–25)</w:t>
      </w:r>
    </w:p>
    <w:p>
      <w:pPr>
        <w:spacing w:after="120" w:before="0" w:line="276"/>
      </w:pPr>
      <w:r>
        <w:rPr>
          <w:rFonts w:ascii="Calibri" w:cs="Calibri" w:eastAsia="Calibri" w:hAnsi="Calibri"/>
          <w:color w:val="3A4C63"/>
          <w:sz w:val="21"/>
          <w:szCs w:val="21"/>
        </w:rPr>
        <w:t xml:space="preserve">Match each answer to the highest level it fully meets, then award points within that band. The level cues under each answer say what Associate / Professional / Expert looks like for that specific concern.</w:t>
      </w:r>
    </w:p>
    <w:tbl>
      <w:tblPr>
        <w:tblW w:type="dxa" w:w="9360"/>
        <w:tblBorders>
          <w:top w:val="single" w:color="C4D2E2" w:sz="6"/>
          <w:left w:val="single" w:color="C4D2E2" w:sz="6"/>
          <w:bottom w:val="single" w:color="C4D2E2" w:sz="6"/>
          <w:right w:val="single" w:color="C4D2E2" w:sz="6"/>
          <w:insideH w:val="none" w:color="FFFFFF" w:sz="0"/>
          <w:insideV w:val="none" w:color="FFFFFF" w:sz="0"/>
        </w:tblBorders>
      </w:tblPr>
      <w:tblGrid>
        <w:gridCol w:w="1600"/>
        <w:gridCol w:w="6940"/>
        <w:gridCol w:w="820"/>
      </w:tblGrid>
      <w:tr>
        <w:trPr>
          <w:tblHeader/>
        </w:trPr>
        <w:tc>
          <w:tcPr>
            <w:tcW w:type="dxa" w:w="1600"/>
            <w:tcBorders>
              <w:top w:val="none" w:color="FFFFFF" w:sz="0"/>
              <w:left w:val="none" w:color="FFFFFF" w:sz="0"/>
              <w:bottom w:val="none" w:color="FFFFFF" w:sz="0"/>
              <w:right w:val="none" w:color="FFFFFF" w:sz="0"/>
            </w:tcBorders>
            <w:shd w:fill="0D274D" w:color="auto" w:val="clear"/>
            <w:tcMar>
              <w:top w:type="dxa" w:w="70"/>
              <w:left w:type="dxa" w:w="140"/>
              <w:bottom w:type="dxa" w:w="70"/>
              <w:right w:type="dxa" w:w="120"/>
            </w:tcMar>
          </w:tcPr>
          <w:p>
            <w:pPr>
              <w:spacing w:after="0" w:before="0" w:line="276"/>
            </w:pPr>
            <w:r>
              <w:rPr>
                <w:rFonts w:ascii="Calibri" w:cs="Calibri" w:eastAsia="Calibri" w:hAnsi="Calibri"/>
                <w:b/>
                <w:bCs/>
                <w:caps/>
                <w:color w:val="FFFFFF"/>
                <w:sz w:val="14"/>
                <w:szCs w:val="14"/>
              </w:rPr>
              <w:t xml:space="preserve">Level</w:t>
            </w:r>
          </w:p>
        </w:tc>
        <w:tc>
          <w:tcPr>
            <w:tcW w:type="dxa" w:w="6940"/>
            <w:tcBorders>
              <w:top w:val="none" w:color="FFFFFF" w:sz="0"/>
              <w:left w:val="none" w:color="FFFFFF" w:sz="0"/>
              <w:bottom w:val="none" w:color="FFFFFF" w:sz="0"/>
              <w:right w:val="none" w:color="FFFFFF" w:sz="0"/>
            </w:tcBorders>
            <w:shd w:fill="0D274D" w:color="auto" w:val="clear"/>
            <w:tcMar>
              <w:top w:type="dxa" w:w="70"/>
              <w:left w:type="dxa" w:w="140"/>
              <w:bottom w:type="dxa" w:w="70"/>
              <w:right w:type="dxa" w:w="120"/>
            </w:tcMar>
          </w:tcPr>
          <w:p>
            <w:pPr>
              <w:spacing w:after="0" w:before="0" w:line="276"/>
            </w:pPr>
            <w:r>
              <w:rPr>
                <w:rFonts w:ascii="Calibri" w:cs="Calibri" w:eastAsia="Calibri" w:hAnsi="Calibri"/>
                <w:b/>
                <w:bCs/>
                <w:caps/>
                <w:color w:val="FFFFFF"/>
                <w:sz w:val="14"/>
                <w:szCs w:val="14"/>
              </w:rPr>
              <w:t xml:space="preserve">What the answer demonstrates</w:t>
            </w:r>
          </w:p>
        </w:tc>
        <w:tc>
          <w:tcPr>
            <w:tcW w:type="dxa" w:w="820"/>
            <w:tcBorders>
              <w:top w:val="none" w:color="FFFFFF" w:sz="0"/>
              <w:left w:val="none" w:color="FFFFFF" w:sz="0"/>
              <w:bottom w:val="none" w:color="FFFFFF" w:sz="0"/>
              <w:right w:val="none" w:color="FFFFFF" w:sz="0"/>
            </w:tcBorders>
            <w:shd w:fill="0D274D" w:color="auto" w:val="clear"/>
            <w:tcMar>
              <w:top w:type="dxa" w:w="70"/>
              <w:left w:type="dxa" w:w="140"/>
              <w:bottom w:type="dxa" w:w="70"/>
              <w:right w:type="dxa" w:w="120"/>
            </w:tcMar>
          </w:tcPr>
          <w:p>
            <w:pPr>
              <w:spacing w:after="0" w:before="0" w:line="276"/>
            </w:pPr>
            <w:r>
              <w:rPr>
                <w:rFonts w:ascii="Calibri" w:cs="Calibri" w:eastAsia="Calibri" w:hAnsi="Calibri"/>
                <w:b/>
                <w:bCs/>
                <w:caps/>
                <w:color w:val="FFFFFF"/>
                <w:sz w:val="14"/>
                <w:szCs w:val="14"/>
              </w:rPr>
              <w:t xml:space="preserve">Points</w:t>
            </w:r>
          </w:p>
        </w:tc>
      </w:tr>
      <w:tr>
        <w:tc>
          <w:tcPr>
            <w:tcW w:type="dxa" w:w="1600"/>
            <w:tcBorders>
              <w:top w:val="single" w:color="E4EBF3" w:sz="4"/>
              <w:left w:val="single" w:color="27A276" w:sz="44"/>
              <w:bottom w:val="none" w:color="FFFFFF" w:sz="0"/>
              <w:right w:val="none" w:color="FFFFFF" w:sz="0"/>
            </w:tcBorders>
            <w:tcMar>
              <w:top w:type="dxa" w:w="80"/>
              <w:left w:type="dxa" w:w="140"/>
              <w:bottom w:type="dxa" w:w="80"/>
              <w:right w:type="dxa" w:w="100"/>
            </w:tcMar>
          </w:tcPr>
          <w:p>
            <w:pPr>
              <w:spacing w:after="0" w:before="0" w:line="276"/>
            </w:pPr>
            <w:r>
              <w:rPr>
                <w:rFonts w:ascii="Calibri" w:cs="Calibri" w:eastAsia="Calibri" w:hAnsi="Calibri"/>
                <w:b/>
                <w:bCs/>
                <w:color w:val="1F8A63"/>
                <w:sz w:val="19"/>
                <w:szCs w:val="19"/>
              </w:rPr>
              <w:t xml:space="preserve">Expert</w:t>
            </w:r>
          </w:p>
        </w:tc>
        <w:tc>
          <w:tcPr>
            <w:tcW w:type="dxa" w:w="6940"/>
            <w:tcBorders>
              <w:top w:val="single" w:color="E4EBF3" w:sz="4"/>
              <w:left w:val="none" w:color="FFFFFF" w:sz="0"/>
              <w:bottom w:val="none" w:color="FFFFFF" w:sz="0"/>
              <w:right w:val="none" w:color="FFFFFF" w:sz="0"/>
            </w:tcBorders>
            <w:tcMar>
              <w:top w:type="dxa" w:w="80"/>
              <w:left w:type="dxa" w:w="140"/>
              <w:bottom w:type="dxa" w:w="80"/>
              <w:right w:type="dxa" w:w="140"/>
            </w:tcMar>
          </w:tcPr>
          <w:p>
            <w:pPr>
              <w:spacing w:after="0" w:before="0" w:line="276"/>
            </w:pPr>
            <w:r>
              <w:rPr>
                <w:rFonts w:ascii="Calibri" w:cs="Calibri" w:eastAsia="Calibri" w:hAnsi="Calibri"/>
                <w:color w:val="2A3C52"/>
                <w:sz w:val="18"/>
                <w:szCs w:val="18"/>
              </w:rPr>
              <w:t xml:space="preserve">Correct product and capability; reasoning specific to Cedarline's constraints; states the outcome / how it helps; ties into the wider HMF design.</w:t>
            </w:r>
          </w:p>
        </w:tc>
        <w:tc>
          <w:tcPr>
            <w:tcW w:type="dxa" w:w="820"/>
            <w:tcBorders>
              <w:top w:val="single" w:color="E4EBF3" w:sz="4"/>
              <w:left w:val="none" w:color="FFFFFF" w:sz="0"/>
              <w:bottom w:val="none" w:color="FFFFFF" w:sz="0"/>
              <w:right w:val="none" w:color="FFFFFF" w:sz="0"/>
            </w:tcBorders>
            <w:tcMar>
              <w:top w:type="dxa" w:w="80"/>
              <w:left w:type="dxa" w:w="100"/>
              <w:bottom w:type="dxa" w:w="80"/>
              <w:right w:type="dxa" w:w="120"/>
            </w:tcMar>
          </w:tcPr>
          <w:p>
            <w:pPr>
              <w:spacing w:after="0" w:before="0" w:line="276"/>
            </w:pPr>
            <w:r>
              <w:rPr>
                <w:rFonts w:ascii="Calibri" w:cs="Calibri" w:eastAsia="Calibri" w:hAnsi="Calibri"/>
                <w:b/>
                <w:bCs/>
                <w:color w:val="1F8A63"/>
                <w:sz w:val="18"/>
                <w:szCs w:val="18"/>
              </w:rPr>
              <w:t xml:space="preserve">21–25</w:t>
            </w:r>
          </w:p>
        </w:tc>
      </w:tr>
      <w:tr>
        <w:tc>
          <w:tcPr>
            <w:tcW w:type="dxa" w:w="1600"/>
            <w:tcBorders>
              <w:top w:val="single" w:color="E4EBF3" w:sz="4"/>
              <w:left w:val="single" w:color="00BCEB" w:sz="44"/>
              <w:bottom w:val="none" w:color="FFFFFF" w:sz="0"/>
              <w:right w:val="none" w:color="FFFFFF" w:sz="0"/>
            </w:tcBorders>
            <w:tcMar>
              <w:top w:type="dxa" w:w="80"/>
              <w:left w:type="dxa" w:w="140"/>
              <w:bottom w:type="dxa" w:w="80"/>
              <w:right w:type="dxa" w:w="100"/>
            </w:tcMar>
          </w:tcPr>
          <w:p>
            <w:pPr>
              <w:spacing w:after="0" w:before="0" w:line="276"/>
            </w:pPr>
            <w:r>
              <w:rPr>
                <w:rFonts w:ascii="Calibri" w:cs="Calibri" w:eastAsia="Calibri" w:hAnsi="Calibri"/>
                <w:b/>
                <w:bCs/>
                <w:color w:val="036C8F"/>
                <w:sz w:val="19"/>
                <w:szCs w:val="19"/>
              </w:rPr>
              <w:t xml:space="preserve">Professional</w:t>
            </w:r>
          </w:p>
        </w:tc>
        <w:tc>
          <w:tcPr>
            <w:tcW w:type="dxa" w:w="6940"/>
            <w:tcBorders>
              <w:top w:val="single" w:color="E4EBF3" w:sz="4"/>
              <w:left w:val="none" w:color="FFFFFF" w:sz="0"/>
              <w:bottom w:val="none" w:color="FFFFFF" w:sz="0"/>
              <w:right w:val="none" w:color="FFFFFF" w:sz="0"/>
            </w:tcBorders>
            <w:tcMar>
              <w:top w:type="dxa" w:w="80"/>
              <w:left w:type="dxa" w:w="140"/>
              <w:bottom w:type="dxa" w:w="80"/>
              <w:right w:type="dxa" w:w="140"/>
            </w:tcMar>
          </w:tcPr>
          <w:p>
            <w:pPr>
              <w:spacing w:after="0" w:before="0" w:line="276"/>
            </w:pPr>
            <w:r>
              <w:rPr>
                <w:rFonts w:ascii="Calibri" w:cs="Calibri" w:eastAsia="Calibri" w:hAnsi="Calibri"/>
                <w:color w:val="2A3C52"/>
                <w:sz w:val="18"/>
                <w:szCs w:val="18"/>
              </w:rPr>
              <w:t xml:space="preserve">Correct product; explains how it addresses the concern with sound Cisco Secure / HMF reasoning; some Cedarline context.</w:t>
            </w:r>
          </w:p>
        </w:tc>
        <w:tc>
          <w:tcPr>
            <w:tcW w:type="dxa" w:w="820"/>
            <w:tcBorders>
              <w:top w:val="single" w:color="E4EBF3" w:sz="4"/>
              <w:left w:val="none" w:color="FFFFFF" w:sz="0"/>
              <w:bottom w:val="none" w:color="FFFFFF" w:sz="0"/>
              <w:right w:val="none" w:color="FFFFFF" w:sz="0"/>
            </w:tcBorders>
            <w:tcMar>
              <w:top w:type="dxa" w:w="80"/>
              <w:left w:type="dxa" w:w="100"/>
              <w:bottom w:type="dxa" w:w="80"/>
              <w:right w:type="dxa" w:w="120"/>
            </w:tcMar>
          </w:tcPr>
          <w:p>
            <w:pPr>
              <w:spacing w:after="0" w:before="0" w:line="276"/>
            </w:pPr>
            <w:r>
              <w:rPr>
                <w:rFonts w:ascii="Calibri" w:cs="Calibri" w:eastAsia="Calibri" w:hAnsi="Calibri"/>
                <w:b/>
                <w:bCs/>
                <w:color w:val="036C8F"/>
                <w:sz w:val="18"/>
                <w:szCs w:val="18"/>
              </w:rPr>
              <w:t xml:space="preserve">14–20</w:t>
            </w:r>
          </w:p>
        </w:tc>
      </w:tr>
      <w:tr>
        <w:tc>
          <w:tcPr>
            <w:tcW w:type="dxa" w:w="1600"/>
            <w:tcBorders>
              <w:top w:val="single" w:color="E4EBF3" w:sz="4"/>
              <w:left w:val="single" w:color="E2891F" w:sz="44"/>
              <w:bottom w:val="none" w:color="FFFFFF" w:sz="0"/>
              <w:right w:val="none" w:color="FFFFFF" w:sz="0"/>
            </w:tcBorders>
            <w:tcMar>
              <w:top w:type="dxa" w:w="80"/>
              <w:left w:type="dxa" w:w="140"/>
              <w:bottom w:type="dxa" w:w="80"/>
              <w:right w:type="dxa" w:w="100"/>
            </w:tcMar>
          </w:tcPr>
          <w:p>
            <w:pPr>
              <w:spacing w:after="0" w:before="0" w:line="276"/>
            </w:pPr>
            <w:r>
              <w:rPr>
                <w:rFonts w:ascii="Calibri" w:cs="Calibri" w:eastAsia="Calibri" w:hAnsi="Calibri"/>
                <w:b/>
                <w:bCs/>
                <w:color w:val="B4711A"/>
                <w:sz w:val="19"/>
                <w:szCs w:val="19"/>
              </w:rPr>
              <w:t xml:space="preserve">Associate</w:t>
            </w:r>
          </w:p>
        </w:tc>
        <w:tc>
          <w:tcPr>
            <w:tcW w:type="dxa" w:w="6940"/>
            <w:tcBorders>
              <w:top w:val="single" w:color="E4EBF3" w:sz="4"/>
              <w:left w:val="none" w:color="FFFFFF" w:sz="0"/>
              <w:bottom w:val="none" w:color="FFFFFF" w:sz="0"/>
              <w:right w:val="none" w:color="FFFFFF" w:sz="0"/>
            </w:tcBorders>
            <w:tcMar>
              <w:top w:type="dxa" w:w="80"/>
              <w:left w:type="dxa" w:w="140"/>
              <w:bottom w:type="dxa" w:w="80"/>
              <w:right w:type="dxa" w:w="140"/>
            </w:tcMar>
          </w:tcPr>
          <w:p>
            <w:pPr>
              <w:spacing w:after="0" w:before="0" w:line="276"/>
            </w:pPr>
            <w:r>
              <w:rPr>
                <w:rFonts w:ascii="Calibri" w:cs="Calibri" w:eastAsia="Calibri" w:hAnsi="Calibri"/>
                <w:color w:val="2A3C52"/>
                <w:sz w:val="18"/>
                <w:szCs w:val="18"/>
              </w:rPr>
              <w:t xml:space="preserve">Plausible product; identifies the problem, but reasoning is generic, partial, or product-name-only.</w:t>
            </w:r>
          </w:p>
        </w:tc>
        <w:tc>
          <w:tcPr>
            <w:tcW w:type="dxa" w:w="820"/>
            <w:tcBorders>
              <w:top w:val="single" w:color="E4EBF3" w:sz="4"/>
              <w:left w:val="none" w:color="FFFFFF" w:sz="0"/>
              <w:bottom w:val="none" w:color="FFFFFF" w:sz="0"/>
              <w:right w:val="none" w:color="FFFFFF" w:sz="0"/>
            </w:tcBorders>
            <w:tcMar>
              <w:top w:type="dxa" w:w="80"/>
              <w:left w:type="dxa" w:w="100"/>
              <w:bottom w:type="dxa" w:w="80"/>
              <w:right w:type="dxa" w:w="120"/>
            </w:tcMar>
          </w:tcPr>
          <w:p>
            <w:pPr>
              <w:spacing w:after="0" w:before="0" w:line="276"/>
            </w:pPr>
            <w:r>
              <w:rPr>
                <w:rFonts w:ascii="Calibri" w:cs="Calibri" w:eastAsia="Calibri" w:hAnsi="Calibri"/>
                <w:b/>
                <w:bCs/>
                <w:color w:val="B4711A"/>
                <w:sz w:val="18"/>
                <w:szCs w:val="18"/>
              </w:rPr>
              <w:t xml:space="preserve">6–13</w:t>
            </w:r>
          </w:p>
        </w:tc>
      </w:tr>
      <w:tr>
        <w:tc>
          <w:tcPr>
            <w:tcW w:type="dxa" w:w="1600"/>
            <w:tcBorders>
              <w:top w:val="single" w:color="E4EBF3" w:sz="4"/>
              <w:left w:val="single" w:color="B9C4D2" w:sz="44"/>
              <w:bottom w:val="none" w:color="FFFFFF" w:sz="0"/>
              <w:right w:val="none" w:color="FFFFFF" w:sz="0"/>
            </w:tcBorders>
            <w:tcMar>
              <w:top w:type="dxa" w:w="80"/>
              <w:left w:type="dxa" w:w="140"/>
              <w:bottom w:type="dxa" w:w="80"/>
              <w:right w:type="dxa" w:w="100"/>
            </w:tcMar>
          </w:tcPr>
          <w:p>
            <w:pPr>
              <w:spacing w:after="0" w:before="0" w:line="276"/>
            </w:pPr>
            <w:r>
              <w:rPr>
                <w:rFonts w:ascii="Calibri" w:cs="Calibri" w:eastAsia="Calibri" w:hAnsi="Calibri"/>
                <w:b/>
                <w:bCs/>
                <w:color w:val="7E8CA1"/>
                <w:sz w:val="19"/>
                <w:szCs w:val="19"/>
              </w:rPr>
              <w:t xml:space="preserve">Not yet</w:t>
            </w:r>
          </w:p>
        </w:tc>
        <w:tc>
          <w:tcPr>
            <w:tcW w:type="dxa" w:w="6940"/>
            <w:tcBorders>
              <w:top w:val="single" w:color="E4EBF3" w:sz="4"/>
              <w:left w:val="none" w:color="FFFFFF" w:sz="0"/>
              <w:bottom w:val="none" w:color="FFFFFF" w:sz="0"/>
              <w:right w:val="none" w:color="FFFFFF" w:sz="0"/>
            </w:tcBorders>
            <w:tcMar>
              <w:top w:type="dxa" w:w="80"/>
              <w:left w:type="dxa" w:w="140"/>
              <w:bottom w:type="dxa" w:w="80"/>
              <w:right w:type="dxa" w:w="140"/>
            </w:tcMar>
          </w:tcPr>
          <w:p>
            <w:pPr>
              <w:spacing w:after="0" w:before="0" w:line="276"/>
            </w:pPr>
            <w:r>
              <w:rPr>
                <w:rFonts w:ascii="Calibri" w:cs="Calibri" w:eastAsia="Calibri" w:hAnsi="Calibri"/>
                <w:color w:val="2A3C52"/>
                <w:sz w:val="18"/>
                <w:szCs w:val="18"/>
              </w:rPr>
              <w:t xml:space="preserve">Blank, off-topic, or a wrong product with no reasoning.</w:t>
            </w:r>
          </w:p>
        </w:tc>
        <w:tc>
          <w:tcPr>
            <w:tcW w:type="dxa" w:w="820"/>
            <w:tcBorders>
              <w:top w:val="single" w:color="E4EBF3" w:sz="4"/>
              <w:left w:val="none" w:color="FFFFFF" w:sz="0"/>
              <w:bottom w:val="none" w:color="FFFFFF" w:sz="0"/>
              <w:right w:val="none" w:color="FFFFFF" w:sz="0"/>
            </w:tcBorders>
            <w:tcMar>
              <w:top w:type="dxa" w:w="80"/>
              <w:left w:type="dxa" w:w="100"/>
              <w:bottom w:type="dxa" w:w="80"/>
              <w:right w:type="dxa" w:w="120"/>
            </w:tcMar>
          </w:tcPr>
          <w:p>
            <w:pPr>
              <w:spacing w:after="0" w:before="0" w:line="276"/>
            </w:pPr>
            <w:r>
              <w:rPr>
                <w:rFonts w:ascii="Calibri" w:cs="Calibri" w:eastAsia="Calibri" w:hAnsi="Calibri"/>
                <w:b/>
                <w:bCs/>
                <w:color w:val="7E8CA1"/>
                <w:sz w:val="18"/>
                <w:szCs w:val="18"/>
              </w:rPr>
              <w:t xml:space="preserve">0–5</w:t>
            </w:r>
          </w:p>
        </w:tc>
      </w:tr>
    </w:tbl>
    <w:p>
      <w:pPr>
        <w:spacing w:after="120"/>
      </w:pPr>
      <w:r>
        <w:rPr>
          <w:rFonts w:ascii="Calibri" w:cs="Calibri" w:eastAsia="Calibri" w:hAnsi="Calibri"/>
          <w:color w:val="14263A"/>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0" w:hRule="atLeast"/>
        </w:trPr>
        <w:tc>
          <w:tcPr>
            <w:tcW w:type="dxa" w:w="9360"/>
            <w:tcBorders>
              <w:top w:val="single" w:color="DCE6F1" w:sz="6"/>
              <w:left w:val="single" w:color="DCE6F1" w:sz="6"/>
              <w:bottom w:val="single" w:color="DCE6F1" w:sz="6"/>
              <w:right w:val="single" w:color="DCE6F1" w:sz="6"/>
            </w:tcBorders>
            <w:shd w:fill="F3F7FB" w:color="auto" w:val="clear"/>
            <w:tcMar>
              <w:top w:type="dxa" w:w="120"/>
              <w:left w:type="dxa" w:w="160"/>
              <w:bottom w:type="dxa" w:w="120"/>
              <w:right w:type="dxa" w:w="160"/>
            </w:tcMar>
            <w:vAlign w:val="top"/>
          </w:tcPr>
          <w:p>
            <w:pPr>
              <w:spacing w:after="0" w:before="0" w:line="276"/>
            </w:pPr>
            <w:r>
              <w:rPr>
                <w:rFonts w:ascii="Calibri" w:cs="Calibri" w:eastAsia="Calibri" w:hAnsi="Calibri"/>
                <w:b/>
                <w:bCs/>
                <w:color w:val="0D274D"/>
                <w:sz w:val="20"/>
                <w:szCs w:val="20"/>
              </w:rPr>
              <w:t xml:space="preserve">Level bands.  </w:t>
            </w:r>
            <w:r>
              <w:rPr>
                <w:rFonts w:ascii="Calibri" w:cs="Calibri" w:eastAsia="Calibri" w:hAnsi="Calibri"/>
                <w:color w:val="33465F"/>
                <w:sz w:val="20"/>
                <w:szCs w:val="20"/>
              </w:rPr>
              <w:t xml:space="preserve">Case Study /100 — Associate 40–64 · Professional 65–84 · Expert 85–100 (Developing &lt;40). Overall /400 — Associate 160–259 · Professional 260–339 · Expert 340–400 (Developing &lt;160).</w:t>
            </w:r>
          </w:p>
        </w:tc>
      </w:tr>
    </w:tbl>
    <w:p>
      <w:pPr>
        <w:spacing w:after="80"/>
      </w:pPr>
      <w:r>
        <w:rPr>
          <w:rFonts w:ascii="Calibri" w:cs="Calibri" w:eastAsia="Calibri" w:hAnsi="Calibri"/>
          <w:color w:val="14263A"/>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0" w:hRule="atLeast"/>
        </w:trPr>
        <w:tc>
          <w:tcPr>
            <w:tcW w:type="dxa" w:w="9360"/>
            <w:tcBorders>
              <w:top w:val="single" w:color="B7E6F3" w:sz="6"/>
              <w:left w:val="single" w:color="B7E6F3" w:sz="6"/>
              <w:bottom w:val="single" w:color="B7E6F3" w:sz="6"/>
              <w:right w:val="single" w:color="B7E6F3" w:sz="6"/>
            </w:tcBorders>
            <w:shd w:fill="F7FCFE" w:color="auto" w:val="clear"/>
            <w:tcMar>
              <w:top w:type="dxa" w:w="120"/>
              <w:left w:type="dxa" w:w="160"/>
              <w:bottom w:type="dxa" w:w="120"/>
              <w:right w:type="dxa" w:w="160"/>
            </w:tcMar>
            <w:vAlign w:val="top"/>
          </w:tcPr>
          <w:p>
            <w:pPr>
              <w:spacing w:after="0" w:before="0" w:line="276"/>
            </w:pPr>
            <w:r>
              <w:rPr>
                <w:rFonts w:ascii="Calibri" w:cs="Calibri" w:eastAsia="Calibri" w:hAnsi="Calibri"/>
                <w:b/>
                <w:bCs/>
                <w:color w:val="0D274D"/>
                <w:sz w:val="20"/>
                <w:szCs w:val="20"/>
              </w:rPr>
              <w:t xml:space="preserve">Grade reasoning, not product-name-matching.  </w:t>
            </w:r>
            <w:r>
              <w:rPr>
                <w:rFonts w:ascii="Calibri" w:cs="Calibri" w:eastAsia="Calibri" w:hAnsi="Calibri"/>
                <w:color w:val="33465F"/>
                <w:sz w:val="20"/>
                <w:szCs w:val="20"/>
              </w:rPr>
              <w:t xml:space="preserve">A right product with no “how” caps at Associate; Cedarline-specific reasoning + outcome earns Expert. The companion Proctor Grading Guide has score lines and feedback boxes.</w:t>
            </w:r>
          </w:p>
        </w:tc>
      </w:tr>
    </w:tbl>
    <w:p>
      <w:pPr>
        <w:pageBreakBefore/>
        <w:spacing w:after="0" w:before="0" w:line="276"/>
      </w:pPr>
    </w:p>
    <w:p>
      <w:pPr>
        <w:spacing w:after="40" w:before="0" w:line="276"/>
      </w:pPr>
      <w:r>
        <w:rPr>
          <w:rFonts w:ascii="Calibri" w:cs="Calibri" w:eastAsia="Calibri" w:hAnsi="Calibri"/>
          <w:b/>
          <w:bCs/>
          <w:caps/>
          <w:color w:val="036C8F"/>
          <w:sz w:val="16"/>
          <w:szCs w:val="16"/>
        </w:rPr>
        <w:t xml:space="preserve">Case Study 1 · reference answers</w:t>
      </w:r>
    </w:p>
    <w:p>
      <w:pPr>
        <w:spacing w:after="80" w:before="0" w:line="276"/>
      </w:pPr>
      <w:r>
        <w:rPr>
          <w:rFonts w:ascii="Calibri" w:cs="Calibri" w:eastAsia="Calibri" w:hAnsi="Calibri"/>
          <w:b/>
          <w:bCs/>
          <w:color w:val="0D274D"/>
          <w:sz w:val="30"/>
          <w:szCs w:val="30"/>
        </w:rPr>
        <w:t xml:space="preserve">AI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0" w:hRule="atLeast"/>
        </w:trPr>
        <w:tc>
          <w:tcPr>
            <w:tcW w:type="dxa" w:w="9360"/>
            <w:tcBorders>
              <w:top w:val="single" w:color="DCE6F1" w:sz="6"/>
              <w:left w:val="single" w:color="DCE6F1" w:sz="6"/>
              <w:bottom w:val="single" w:color="DCE6F1" w:sz="6"/>
              <w:right w:val="single" w:color="DCE6F1" w:sz="6"/>
            </w:tcBorders>
            <w:shd w:fill="F3F7FB" w:color="auto" w:val="clear"/>
            <w:tcMar>
              <w:top w:type="dxa" w:w="120"/>
              <w:left w:type="dxa" w:w="160"/>
              <w:bottom w:type="dxa" w:w="120"/>
              <w:right w:type="dxa" w:w="160"/>
            </w:tcMar>
            <w:vAlign w:val="top"/>
          </w:tcPr>
          <w:p>
            <w:pPr>
              <w:spacing w:after="0" w:before="0" w:line="276"/>
            </w:pPr>
            <w:r>
              <w:rPr>
                <w:rFonts w:ascii="Calibri" w:cs="Calibri" w:eastAsia="Calibri" w:hAnsi="Calibri"/>
                <w:b/>
                <w:bCs/>
                <w:color w:val="0D274D"/>
                <w:sz w:val="21"/>
                <w:szCs w:val="21"/>
              </w:rPr>
              <w:t xml:space="preserve">Focus.  </w:t>
            </w:r>
            <w:r>
              <w:rPr>
                <w:rFonts w:ascii="Calibri" w:cs="Calibri" w:eastAsia="Calibri" w:hAnsi="Calibri"/>
                <w:color w:val="33465F"/>
                <w:sz w:val="21"/>
                <w:szCs w:val="21"/>
              </w:rPr>
              <w:t xml:space="preserve">Cedarline is standing up AI across regulated workflows and public cloud faster than security can see it. Help them prove compliance, vet what they adopt, and get visibility and guardrails over AI traffic.</w:t>
            </w:r>
          </w:p>
        </w:tc>
      </w:tr>
    </w:tbl>
    <w:p>
      <w:pPr>
        <w:spacing w:after="140"/>
      </w:pPr>
      <w:r>
        <w:rPr>
          <w:rFonts w:ascii="Calibri" w:cs="Calibri" w:eastAsia="Calibri" w:hAnsi="Calibri"/>
          <w:color w:val="14263A"/>
          <w:sz w:val="2"/>
          <w:szCs w:val="2"/>
        </w:rPr>
        <w:t xml:space="preserve"/>
      </w:r>
    </w:p>
    <w:tbl>
      <w:tblPr>
        <w:tblW w:type="dxa" w:w="9360"/>
        <w:tblBorders>
          <w:top w:val="single" w:color="C4D2E2" w:sz="6"/>
          <w:left w:val="single" w:color="C4D2E2" w:sz="6"/>
          <w:bottom w:val="single" w:color="C4D2E2" w:sz="6"/>
          <w:right w:val="single" w:color="C4D2E2" w:sz="6"/>
          <w:insideH w:val="none" w:color="FFFFFF" w:sz="0"/>
          <w:insideV w:val="none" w:color="FFFFFF" w:sz="0"/>
        </w:tblBorders>
      </w:tblPr>
      <w:tblGrid>
        <w:gridCol w:w="2200"/>
        <w:gridCol w:w="7160"/>
      </w:tblGrid>
      <w:tr>
        <w:tc>
          <w:tcPr>
            <w:tcW w:type="dxa" w:w="9360"/>
            <w:gridSpan w:val="2"/>
            <w:tcBorders>
              <w:top w:val="none" w:color="FFFFFF" w:sz="0"/>
              <w:left w:val="none" w:color="FFFFFF" w:sz="0"/>
              <w:bottom w:val="none" w:color="FFFFFF" w:sz="0"/>
              <w:right w:val="none" w:color="FFFFFF" w:sz="0"/>
            </w:tcBorders>
            <w:shd w:fill="0D274D" w:color="auto" w:val="clear"/>
            <w:tcMar>
              <w:top w:type="dxa" w:w="60"/>
              <w:left w:type="dxa" w:w="160"/>
              <w:bottom w:type="dxa" w:w="60"/>
              <w:right w:type="dxa" w:w="160"/>
            </w:tcMar>
          </w:tcPr>
          <w:p>
            <w:pPr>
              <w:tabs>
                <w:tab w:val="right" w:pos="9100"/>
              </w:tabs>
              <w:spacing w:after="0"/>
            </w:pPr>
            <w:r>
              <w:rPr>
                <w:rFonts w:ascii="Calibri" w:cs="Calibri" w:eastAsia="Calibri" w:hAnsi="Calibri"/>
                <w:b/>
                <w:bCs/>
                <w:color w:val="FFFFFF"/>
                <w:sz w:val="21"/>
                <w:szCs w:val="21"/>
              </w:rPr>
              <w:t xml:space="preserve">Pain Point 1</w:t>
            </w:r>
            <w:r>
              <w:rPr>
                <w:rFonts w:ascii="Calibri" w:cs="Calibri" w:eastAsia="Calibri" w:hAnsi="Calibri"/>
                <w:b/>
                <w:bCs/>
                <w:color w:val="7FE2EF"/>
                <w:sz w:val="18"/>
                <w:szCs w:val="18"/>
              </w:rPr>
              <w:t xml:space="preserve">	25 pts</w:t>
            </w:r>
          </w:p>
        </w:tc>
      </w:tr>
      <w:tr>
        <w:tc>
          <w:tcPr>
            <w:tcW w:type="dxa" w:w="9360"/>
            <w:gridSpan w:val="2"/>
            <w:tcBorders>
              <w:top w:val="none" w:color="FFFFFF" w:sz="0"/>
              <w:left w:val="none" w:color="FFFFFF" w:sz="0"/>
              <w:bottom w:val="single" w:color="E4EBF3" w:sz="4"/>
              <w:right w:val="none" w:color="FFFFFF" w:sz="0"/>
            </w:tcBorders>
            <w:shd w:fill="FBFCFE" w:color="auto" w:val="clear"/>
            <w:tcMar>
              <w:top w:type="dxa" w:w="90"/>
              <w:left w:type="dxa" w:w="160"/>
              <w:bottom w:type="dxa" w:w="90"/>
              <w:right w:type="dxa" w:w="160"/>
            </w:tcMar>
          </w:tcPr>
          <w:p>
            <w:pPr>
              <w:spacing w:after="0" w:before="0" w:line="276"/>
            </w:pPr>
            <w:r>
              <w:rPr>
                <w:rFonts w:ascii="Calibri" w:cs="Calibri" w:eastAsia="Calibri" w:hAnsi="Calibri"/>
                <w:i/>
                <w:iCs/>
                <w:color w:val="22344A"/>
                <w:sz w:val="20"/>
                <w:szCs w:val="20"/>
              </w:rPr>
              <w:t xml:space="preserve">Under the EU AI Act, we are classified as a 'Provider' for our internal AI systems. We need to demonstrate robustness and cybersecurity compliance to satisfy Article 15. How does Cisco help us meet these specific requirements?</w:t>
            </w:r>
          </w:p>
        </w:tc>
      </w:tr>
      <w:tr>
        <w:tc>
          <w:tcPr>
            <w:tcW w:type="dxa" w:w="2200"/>
            <w:tcBorders>
              <w:top w:val="none" w:color="FFFFFF" w:sz="0"/>
              <w:left w:val="none" w:color="FFFFFF" w:sz="0"/>
              <w:bottom w:val="single" w:color="E4EBF3" w:sz="4"/>
              <w:right w:val="none" w:color="FFFFFF" w:sz="0"/>
            </w:tcBorders>
            <w:shd w:fill="F7F9FC" w:color="auto" w:val="clear"/>
            <w:tcMar>
              <w:top w:type="dxa" w:w="60"/>
              <w:left w:type="dxa" w:w="160"/>
              <w:bottom w:type="dxa" w:w="60"/>
              <w:right w:type="dxa" w:w="100"/>
            </w:tcMar>
          </w:tcPr>
          <w:p>
            <w:pPr>
              <w:spacing w:after="0" w:before="0" w:line="276"/>
            </w:pPr>
            <w:r>
              <w:rPr>
                <w:rFonts w:ascii="Calibri" w:cs="Calibri" w:eastAsia="Calibri" w:hAnsi="Calibri"/>
                <w:b/>
                <w:bCs/>
                <w:caps/>
                <w:color w:val="036C8F"/>
                <w:sz w:val="16"/>
                <w:szCs w:val="16"/>
              </w:rPr>
              <w:t xml:space="preserve">Product / Platform</w:t>
            </w:r>
          </w:p>
        </w:tc>
        <w:tc>
          <w:tcPr>
            <w:tcW w:type="dxa" w:w="7160"/>
            <w:tcBorders>
              <w:top w:val="none" w:color="FFFFFF" w:sz="0"/>
              <w:left w:val="none" w:color="FFFFFF" w:sz="0"/>
              <w:bottom w:val="single" w:color="E4EBF3" w:sz="4"/>
              <w:right w:val="none" w:color="FFFFFF" w:sz="0"/>
            </w:tcBorders>
            <w:tcMar>
              <w:top w:type="dxa" w:w="60"/>
              <w:left w:type="dxa" w:w="160"/>
              <w:bottom w:type="dxa" w:w="60"/>
              <w:right w:type="dxa" w:w="160"/>
            </w:tcMar>
          </w:tcPr>
          <w:p>
            <w:pPr>
              <w:spacing w:after="0" w:before="0" w:line="276"/>
            </w:pPr>
            <w:r>
              <w:rPr>
                <w:rFonts w:ascii="Calibri" w:cs="Calibri" w:eastAsia="Calibri" w:hAnsi="Calibri"/>
                <w:b/>
                <w:bCs/>
                <w:color w:val="036C8F"/>
                <w:sz w:val="20"/>
                <w:szCs w:val="20"/>
              </w:rPr>
              <w:t xml:space="preserve">AI Defense</w:t>
            </w:r>
            <w:r>
              <w:rPr>
                <w:rFonts w:ascii="Calibri" w:cs="Calibri" w:eastAsia="Calibri" w:hAnsi="Calibri"/>
                <w:color w:val="7E8CA1"/>
                <w:sz w:val="18"/>
                <w:szCs w:val="18"/>
              </w:rPr>
              <w:t xml:space="preserve">  · AI Model and Application Validation</w:t>
            </w:r>
          </w:p>
        </w:tc>
      </w:tr>
      <w:tr>
        <w:tc>
          <w:tcPr>
            <w:tcW w:type="dxa" w:w="2200"/>
            <w:tcBorders>
              <w:top w:val="none" w:color="FFFFFF" w:sz="0"/>
              <w:left w:val="none" w:color="FFFFFF" w:sz="0"/>
              <w:bottom w:val="single" w:color="E4EBF3" w:sz="4"/>
              <w:right w:val="none" w:color="FFFFFF" w:sz="0"/>
            </w:tcBorders>
            <w:shd w:fill="F7F9FC" w:color="auto" w:val="clear"/>
            <w:tcMar>
              <w:top w:type="dxa" w:w="60"/>
              <w:left w:type="dxa" w:w="160"/>
              <w:bottom w:type="dxa" w:w="60"/>
              <w:right w:type="dxa" w:w="100"/>
            </w:tcMar>
          </w:tcPr>
          <w:p>
            <w:pPr>
              <w:spacing w:after="0" w:before="0" w:line="276"/>
            </w:pPr>
            <w:r>
              <w:rPr>
                <w:rFonts w:ascii="Calibri" w:cs="Calibri" w:eastAsia="Calibri" w:hAnsi="Calibri"/>
                <w:b/>
                <w:bCs/>
                <w:caps/>
                <w:color w:val="036C8F"/>
                <w:sz w:val="16"/>
                <w:szCs w:val="16"/>
              </w:rPr>
              <w:t xml:space="preserve">Model SE response</w:t>
            </w:r>
          </w:p>
        </w:tc>
        <w:tc>
          <w:tcPr>
            <w:tcW w:type="dxa" w:w="7160"/>
            <w:tcBorders>
              <w:top w:val="none" w:color="FFFFFF" w:sz="0"/>
              <w:left w:val="none" w:color="FFFFFF" w:sz="0"/>
              <w:bottom w:val="single" w:color="E4EBF3" w:sz="4"/>
              <w:right w:val="none" w:color="FFFFFF" w:sz="0"/>
            </w:tcBorders>
            <w:tcMar>
              <w:top w:type="dxa" w:w="60"/>
              <w:left w:type="dxa" w:w="160"/>
              <w:bottom w:type="dxa" w:w="60"/>
              <w:right w:type="dxa" w:w="160"/>
            </w:tcMar>
          </w:tcPr>
          <w:p>
            <w:pPr>
              <w:spacing w:after="0" w:before="0" w:line="276"/>
            </w:pPr>
            <w:r>
              <w:rPr>
                <w:rFonts w:ascii="Calibri" w:cs="Calibri" w:eastAsia="Calibri" w:hAnsi="Calibri"/>
                <w:color w:val="22344A"/>
                <w:sz w:val="20"/>
                <w:szCs w:val="20"/>
              </w:rPr>
              <w:t xml:space="preserve">Cisco AI Defense is specifically designed to support Provider obligations under the EU AI Act. We utilize algorithmic red teaming technology for AI Model &amp; App Validation, which identifies safety and security vulnerabilities at scale. By documenting these validation results and maintaining continuous runtime protection, you create a defensible, auditable framework.</w:t>
            </w:r>
          </w:p>
        </w:tc>
      </w:tr>
      <w:tr>
        <w:tc>
          <w:tcPr>
            <w:tcW w:type="dxa" w:w="2200"/>
            <w:tcBorders>
              <w:top w:val="none" w:color="FFFFFF" w:sz="0"/>
              <w:left w:val="none" w:color="FFFFFF" w:sz="0"/>
              <w:bottom w:val="single" w:color="E4EBF3" w:sz="4"/>
              <w:right w:val="none" w:color="FFFFFF" w:sz="0"/>
            </w:tcBorders>
            <w:shd w:fill="F7F9FC" w:color="auto" w:val="clear"/>
            <w:tcMar>
              <w:top w:type="dxa" w:w="60"/>
              <w:left w:type="dxa" w:w="160"/>
              <w:bottom w:type="dxa" w:w="60"/>
              <w:right w:type="dxa" w:w="100"/>
            </w:tcMar>
          </w:tcPr>
          <w:p>
            <w:pPr>
              <w:spacing w:after="0" w:before="0" w:line="276"/>
            </w:pPr>
            <w:r>
              <w:rPr>
                <w:rFonts w:ascii="Calibri" w:cs="Calibri" w:eastAsia="Calibri" w:hAnsi="Calibri"/>
                <w:b/>
                <w:bCs/>
                <w:caps/>
                <w:color w:val="036C8F"/>
                <w:sz w:val="16"/>
                <w:szCs w:val="16"/>
              </w:rPr>
              <w:t xml:space="preserve">How it helps</w:t>
            </w:r>
          </w:p>
        </w:tc>
        <w:tc>
          <w:tcPr>
            <w:tcW w:type="dxa" w:w="7160"/>
            <w:tcBorders>
              <w:top w:val="none" w:color="FFFFFF" w:sz="0"/>
              <w:left w:val="none" w:color="FFFFFF" w:sz="0"/>
              <w:bottom w:val="single" w:color="E4EBF3" w:sz="4"/>
              <w:right w:val="none" w:color="FFFFFF" w:sz="0"/>
            </w:tcBorders>
            <w:tcMar>
              <w:top w:type="dxa" w:w="60"/>
              <w:left w:type="dxa" w:w="160"/>
              <w:bottom w:type="dxa" w:w="60"/>
              <w:right w:type="dxa" w:w="160"/>
            </w:tcMar>
          </w:tcPr>
          <w:p>
            <w:pPr>
              <w:spacing w:after="0" w:before="0" w:line="276"/>
            </w:pPr>
            <w:r>
              <w:rPr>
                <w:rFonts w:ascii="Calibri" w:cs="Calibri" w:eastAsia="Calibri" w:hAnsi="Calibri"/>
                <w:color w:val="22344A"/>
                <w:sz w:val="20"/>
                <w:szCs w:val="20"/>
              </w:rPr>
              <w:t xml:space="preserve">It automates the technical evidence gathering required for "Conformity Assessments." By mapping AI-specific threats to standardized frameworks (like MITRE ATLAS and OWASP), it provides the documentation and continuous monitoring necessary to prove to regulators that your systems are robust and compliant.</w:t>
            </w:r>
          </w:p>
        </w:tc>
      </w:tr>
    </w:tbl>
    <w:p>
      <w:pPr>
        <w:spacing w:after="50"/>
      </w:pPr>
      <w:r>
        <w:rPr>
          <w:rFonts w:ascii="Calibri" w:cs="Calibri" w:eastAsia="Calibri" w:hAnsi="Calibri"/>
          <w:color w:val="14263A"/>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0" w:hRule="atLeast"/>
        </w:trPr>
        <w:tc>
          <w:tcPr>
            <w:tcW w:type="dxa" w:w="9360"/>
            <w:tcBorders>
              <w:top w:val="single" w:color="E1E8F1" w:sz="6"/>
              <w:left w:val="single" w:color="E1E8F1" w:sz="6"/>
              <w:bottom w:val="single" w:color="E1E8F1" w:sz="6"/>
              <w:right w:val="single" w:color="E1E8F1" w:sz="6"/>
            </w:tcBorders>
            <w:shd w:fill="F7F9FC" w:color="auto" w:val="clear"/>
            <w:tcMar>
              <w:top w:type="dxa" w:w="120"/>
              <w:left w:type="dxa" w:w="160"/>
              <w:bottom w:type="dxa" w:w="120"/>
              <w:right w:type="dxa" w:w="160"/>
            </w:tcMar>
            <w:vAlign w:val="top"/>
          </w:tcPr>
          <w:p>
            <w:pPr>
              <w:spacing w:after="0"/>
            </w:pPr>
            <w:r>
              <w:rPr>
                <w:rFonts w:ascii="Calibri" w:cs="Calibri" w:eastAsia="Calibri" w:hAnsi="Calibri"/>
                <w:b/>
                <w:bCs/>
                <w:color w:val="0D274D"/>
                <w:sz w:val="17"/>
                <w:szCs w:val="17"/>
              </w:rPr>
              <w:t xml:space="preserve">Level cues:  </w:t>
            </w:r>
            <w:r>
              <w:rPr>
                <w:rFonts w:ascii="Calibri" w:cs="Calibri" w:eastAsia="Calibri" w:hAnsi="Calibri"/>
                <w:b/>
                <w:bCs/>
                <w:color w:val="B4711A"/>
                <w:sz w:val="17"/>
                <w:szCs w:val="17"/>
              </w:rPr>
              <w:t xml:space="preserve">Associate (6–13) </w:t>
            </w:r>
            <w:r>
              <w:rPr>
                <w:rFonts w:ascii="Calibri" w:cs="Calibri" w:eastAsia="Calibri" w:hAnsi="Calibri"/>
                <w:color w:val="46566E"/>
                <w:sz w:val="17"/>
                <w:szCs w:val="17"/>
              </w:rPr>
              <w:t xml:space="preserve">names AI Defense, generic.   </w:t>
            </w:r>
            <w:r>
              <w:rPr>
                <w:rFonts w:ascii="Calibri" w:cs="Calibri" w:eastAsia="Calibri" w:hAnsi="Calibri"/>
                <w:b/>
                <w:bCs/>
                <w:color w:val="036C8F"/>
                <w:sz w:val="17"/>
                <w:szCs w:val="17"/>
              </w:rPr>
              <w:t xml:space="preserve">Professional (14–20) </w:t>
            </w:r>
            <w:r>
              <w:rPr>
                <w:rFonts w:ascii="Calibri" w:cs="Calibri" w:eastAsia="Calibri" w:hAnsi="Calibri"/>
                <w:color w:val="46566E"/>
                <w:sz w:val="17"/>
                <w:szCs w:val="17"/>
              </w:rPr>
              <w:t xml:space="preserve">+ how it addresses the concern.   </w:t>
            </w:r>
            <w:r>
              <w:rPr>
                <w:rFonts w:ascii="Calibri" w:cs="Calibri" w:eastAsia="Calibri" w:hAnsi="Calibri"/>
                <w:b/>
                <w:bCs/>
                <w:color w:val="1F8A63"/>
                <w:sz w:val="17"/>
                <w:szCs w:val="17"/>
              </w:rPr>
              <w:t xml:space="preserve">Expert (21–25) </w:t>
            </w:r>
            <w:r>
              <w:rPr>
                <w:rFonts w:ascii="Calibri" w:cs="Calibri" w:eastAsia="Calibri" w:hAnsi="Calibri"/>
                <w:color w:val="46566E"/>
                <w:sz w:val="17"/>
                <w:szCs w:val="17"/>
              </w:rPr>
              <w:t xml:space="preserve">+ Cedarline-specific reasoning &amp; outcome, ties to HMF.</w:t>
            </w:r>
          </w:p>
        </w:tc>
      </w:tr>
    </w:tbl>
    <w:p>
      <w:pPr>
        <w:spacing w:after="160"/>
      </w:pPr>
      <w:r>
        <w:rPr>
          <w:rFonts w:ascii="Calibri" w:cs="Calibri" w:eastAsia="Calibri" w:hAnsi="Calibri"/>
          <w:color w:val="14263A"/>
          <w:sz w:val="2"/>
          <w:szCs w:val="2"/>
        </w:rPr>
        <w:t xml:space="preserve"/>
      </w:r>
    </w:p>
    <w:tbl>
      <w:tblPr>
        <w:tblW w:type="dxa" w:w="9360"/>
        <w:tblBorders>
          <w:top w:val="single" w:color="C4D2E2" w:sz="6"/>
          <w:left w:val="single" w:color="C4D2E2" w:sz="6"/>
          <w:bottom w:val="single" w:color="C4D2E2" w:sz="6"/>
          <w:right w:val="single" w:color="C4D2E2" w:sz="6"/>
          <w:insideH w:val="none" w:color="FFFFFF" w:sz="0"/>
          <w:insideV w:val="none" w:color="FFFFFF" w:sz="0"/>
        </w:tblBorders>
      </w:tblPr>
      <w:tblGrid>
        <w:gridCol w:w="2200"/>
        <w:gridCol w:w="7160"/>
      </w:tblGrid>
      <w:tr>
        <w:tc>
          <w:tcPr>
            <w:tcW w:type="dxa" w:w="9360"/>
            <w:gridSpan w:val="2"/>
            <w:tcBorders>
              <w:top w:val="none" w:color="FFFFFF" w:sz="0"/>
              <w:left w:val="none" w:color="FFFFFF" w:sz="0"/>
              <w:bottom w:val="none" w:color="FFFFFF" w:sz="0"/>
              <w:right w:val="none" w:color="FFFFFF" w:sz="0"/>
            </w:tcBorders>
            <w:shd w:fill="0D274D" w:color="auto" w:val="clear"/>
            <w:tcMar>
              <w:top w:type="dxa" w:w="60"/>
              <w:left w:type="dxa" w:w="160"/>
              <w:bottom w:type="dxa" w:w="60"/>
              <w:right w:type="dxa" w:w="160"/>
            </w:tcMar>
          </w:tcPr>
          <w:p>
            <w:pPr>
              <w:tabs>
                <w:tab w:val="right" w:pos="9100"/>
              </w:tabs>
              <w:spacing w:after="0"/>
            </w:pPr>
            <w:r>
              <w:rPr>
                <w:rFonts w:ascii="Calibri" w:cs="Calibri" w:eastAsia="Calibri" w:hAnsi="Calibri"/>
                <w:b/>
                <w:bCs/>
                <w:color w:val="FFFFFF"/>
                <w:sz w:val="21"/>
                <w:szCs w:val="21"/>
              </w:rPr>
              <w:t xml:space="preserve">Pain Point 2</w:t>
            </w:r>
            <w:r>
              <w:rPr>
                <w:rFonts w:ascii="Calibri" w:cs="Calibri" w:eastAsia="Calibri" w:hAnsi="Calibri"/>
                <w:b/>
                <w:bCs/>
                <w:color w:val="7FE2EF"/>
                <w:sz w:val="18"/>
                <w:szCs w:val="18"/>
              </w:rPr>
              <w:t xml:space="preserve">	25 pts</w:t>
            </w:r>
          </w:p>
        </w:tc>
      </w:tr>
      <w:tr>
        <w:tc>
          <w:tcPr>
            <w:tcW w:type="dxa" w:w="9360"/>
            <w:gridSpan w:val="2"/>
            <w:tcBorders>
              <w:top w:val="none" w:color="FFFFFF" w:sz="0"/>
              <w:left w:val="none" w:color="FFFFFF" w:sz="0"/>
              <w:bottom w:val="single" w:color="E4EBF3" w:sz="4"/>
              <w:right w:val="none" w:color="FFFFFF" w:sz="0"/>
            </w:tcBorders>
            <w:shd w:fill="FBFCFE" w:color="auto" w:val="clear"/>
            <w:tcMar>
              <w:top w:type="dxa" w:w="90"/>
              <w:left w:type="dxa" w:w="160"/>
              <w:bottom w:type="dxa" w:w="90"/>
              <w:right w:type="dxa" w:w="160"/>
            </w:tcMar>
          </w:tcPr>
          <w:p>
            <w:pPr>
              <w:spacing w:after="0" w:before="0" w:line="276"/>
            </w:pPr>
            <w:r>
              <w:rPr>
                <w:rFonts w:ascii="Calibri" w:cs="Calibri" w:eastAsia="Calibri" w:hAnsi="Calibri"/>
                <w:i/>
                <w:iCs/>
                <w:color w:val="22344A"/>
                <w:sz w:val="20"/>
                <w:szCs w:val="20"/>
              </w:rPr>
              <w:t xml:space="preserve">We are integrating various open-source models and third-party agents into our internal workflows. How can we ensure these assets aren't introducing vulnerabilities into our environment before they even go live?</w:t>
            </w:r>
          </w:p>
        </w:tc>
      </w:tr>
      <w:tr>
        <w:tc>
          <w:tcPr>
            <w:tcW w:type="dxa" w:w="2200"/>
            <w:tcBorders>
              <w:top w:val="none" w:color="FFFFFF" w:sz="0"/>
              <w:left w:val="none" w:color="FFFFFF" w:sz="0"/>
              <w:bottom w:val="single" w:color="E4EBF3" w:sz="4"/>
              <w:right w:val="none" w:color="FFFFFF" w:sz="0"/>
            </w:tcBorders>
            <w:shd w:fill="F7F9FC" w:color="auto" w:val="clear"/>
            <w:tcMar>
              <w:top w:type="dxa" w:w="60"/>
              <w:left w:type="dxa" w:w="160"/>
              <w:bottom w:type="dxa" w:w="60"/>
              <w:right w:type="dxa" w:w="100"/>
            </w:tcMar>
          </w:tcPr>
          <w:p>
            <w:pPr>
              <w:spacing w:after="0" w:before="0" w:line="276"/>
            </w:pPr>
            <w:r>
              <w:rPr>
                <w:rFonts w:ascii="Calibri" w:cs="Calibri" w:eastAsia="Calibri" w:hAnsi="Calibri"/>
                <w:b/>
                <w:bCs/>
                <w:caps/>
                <w:color w:val="036C8F"/>
                <w:sz w:val="16"/>
                <w:szCs w:val="16"/>
              </w:rPr>
              <w:t xml:space="preserve">Product / Platform</w:t>
            </w:r>
          </w:p>
        </w:tc>
        <w:tc>
          <w:tcPr>
            <w:tcW w:type="dxa" w:w="7160"/>
            <w:tcBorders>
              <w:top w:val="none" w:color="FFFFFF" w:sz="0"/>
              <w:left w:val="none" w:color="FFFFFF" w:sz="0"/>
              <w:bottom w:val="single" w:color="E4EBF3" w:sz="4"/>
              <w:right w:val="none" w:color="FFFFFF" w:sz="0"/>
            </w:tcBorders>
            <w:tcMar>
              <w:top w:type="dxa" w:w="60"/>
              <w:left w:type="dxa" w:w="160"/>
              <w:bottom w:type="dxa" w:w="60"/>
              <w:right w:type="dxa" w:w="160"/>
            </w:tcMar>
          </w:tcPr>
          <w:p>
            <w:pPr>
              <w:spacing w:after="0" w:before="0" w:line="276"/>
            </w:pPr>
            <w:r>
              <w:rPr>
                <w:rFonts w:ascii="Calibri" w:cs="Calibri" w:eastAsia="Calibri" w:hAnsi="Calibri"/>
                <w:b/>
                <w:bCs/>
                <w:color w:val="036C8F"/>
                <w:sz w:val="20"/>
                <w:szCs w:val="20"/>
              </w:rPr>
              <w:t xml:space="preserve">AI Defense</w:t>
            </w:r>
            <w:r>
              <w:rPr>
                <w:rFonts w:ascii="Calibri" w:cs="Calibri" w:eastAsia="Calibri" w:hAnsi="Calibri"/>
                <w:color w:val="7E8CA1"/>
                <w:sz w:val="18"/>
                <w:szCs w:val="18"/>
              </w:rPr>
              <w:t xml:space="preserve">  · Supply Chain Risk Management</w:t>
            </w:r>
          </w:p>
        </w:tc>
      </w:tr>
      <w:tr>
        <w:tc>
          <w:tcPr>
            <w:tcW w:type="dxa" w:w="2200"/>
            <w:tcBorders>
              <w:top w:val="none" w:color="FFFFFF" w:sz="0"/>
              <w:left w:val="none" w:color="FFFFFF" w:sz="0"/>
              <w:bottom w:val="single" w:color="E4EBF3" w:sz="4"/>
              <w:right w:val="none" w:color="FFFFFF" w:sz="0"/>
            </w:tcBorders>
            <w:shd w:fill="F7F9FC" w:color="auto" w:val="clear"/>
            <w:tcMar>
              <w:top w:type="dxa" w:w="60"/>
              <w:left w:type="dxa" w:w="160"/>
              <w:bottom w:type="dxa" w:w="60"/>
              <w:right w:type="dxa" w:w="100"/>
            </w:tcMar>
          </w:tcPr>
          <w:p>
            <w:pPr>
              <w:spacing w:after="0" w:before="0" w:line="276"/>
            </w:pPr>
            <w:r>
              <w:rPr>
                <w:rFonts w:ascii="Calibri" w:cs="Calibri" w:eastAsia="Calibri" w:hAnsi="Calibri"/>
                <w:b/>
                <w:bCs/>
                <w:caps/>
                <w:color w:val="036C8F"/>
                <w:sz w:val="16"/>
                <w:szCs w:val="16"/>
              </w:rPr>
              <w:t xml:space="preserve">Model SE response</w:t>
            </w:r>
          </w:p>
        </w:tc>
        <w:tc>
          <w:tcPr>
            <w:tcW w:type="dxa" w:w="7160"/>
            <w:tcBorders>
              <w:top w:val="none" w:color="FFFFFF" w:sz="0"/>
              <w:left w:val="none" w:color="FFFFFF" w:sz="0"/>
              <w:bottom w:val="single" w:color="E4EBF3" w:sz="4"/>
              <w:right w:val="none" w:color="FFFFFF" w:sz="0"/>
            </w:tcBorders>
            <w:tcMar>
              <w:top w:type="dxa" w:w="60"/>
              <w:left w:type="dxa" w:w="160"/>
              <w:bottom w:type="dxa" w:w="60"/>
              <w:right w:type="dxa" w:w="160"/>
            </w:tcMar>
          </w:tcPr>
          <w:p>
            <w:pPr>
              <w:spacing w:after="0" w:before="0" w:line="276"/>
            </w:pPr>
            <w:r>
              <w:rPr>
                <w:rFonts w:ascii="Calibri" w:cs="Calibri" w:eastAsia="Calibri" w:hAnsi="Calibri"/>
                <w:color w:val="22344A"/>
                <w:sz w:val="20"/>
                <w:szCs w:val="20"/>
              </w:rPr>
              <w:t xml:space="preserve">Cisco AI Defense addresses this through proactive Supply Chain Risk Management. We scan your model files, repositories, and MCP servers to identify malicious or unsafe assets. By integrating this into your CI/CD pipeline, we can block compromised AI assets before they are deployed, ensuring that your operational environment remains secure from the start.</w:t>
            </w:r>
          </w:p>
        </w:tc>
      </w:tr>
      <w:tr>
        <w:tc>
          <w:tcPr>
            <w:tcW w:type="dxa" w:w="2200"/>
            <w:tcBorders>
              <w:top w:val="none" w:color="FFFFFF" w:sz="0"/>
              <w:left w:val="none" w:color="FFFFFF" w:sz="0"/>
              <w:bottom w:val="single" w:color="E4EBF3" w:sz="4"/>
              <w:right w:val="none" w:color="FFFFFF" w:sz="0"/>
            </w:tcBorders>
            <w:shd w:fill="F7F9FC" w:color="auto" w:val="clear"/>
            <w:tcMar>
              <w:top w:type="dxa" w:w="60"/>
              <w:left w:type="dxa" w:w="160"/>
              <w:bottom w:type="dxa" w:w="60"/>
              <w:right w:type="dxa" w:w="100"/>
            </w:tcMar>
          </w:tcPr>
          <w:p>
            <w:pPr>
              <w:spacing w:after="0" w:before="0" w:line="276"/>
            </w:pPr>
            <w:r>
              <w:rPr>
                <w:rFonts w:ascii="Calibri" w:cs="Calibri" w:eastAsia="Calibri" w:hAnsi="Calibri"/>
                <w:b/>
                <w:bCs/>
                <w:caps/>
                <w:color w:val="036C8F"/>
                <w:sz w:val="16"/>
                <w:szCs w:val="16"/>
              </w:rPr>
              <w:t xml:space="preserve">How it helps</w:t>
            </w:r>
          </w:p>
        </w:tc>
        <w:tc>
          <w:tcPr>
            <w:tcW w:type="dxa" w:w="7160"/>
            <w:tcBorders>
              <w:top w:val="none" w:color="FFFFFF" w:sz="0"/>
              <w:left w:val="none" w:color="FFFFFF" w:sz="0"/>
              <w:bottom w:val="single" w:color="E4EBF3" w:sz="4"/>
              <w:right w:val="none" w:color="FFFFFF" w:sz="0"/>
            </w:tcBorders>
            <w:tcMar>
              <w:top w:type="dxa" w:w="60"/>
              <w:left w:type="dxa" w:w="160"/>
              <w:bottom w:type="dxa" w:w="60"/>
              <w:right w:type="dxa" w:w="160"/>
            </w:tcMar>
          </w:tcPr>
          <w:p>
            <w:pPr>
              <w:spacing w:after="0" w:before="0" w:line="276"/>
            </w:pPr>
            <w:r>
              <w:rPr>
                <w:rFonts w:ascii="Calibri" w:cs="Calibri" w:eastAsia="Calibri" w:hAnsi="Calibri"/>
                <w:color w:val="22344A"/>
                <w:sz w:val="20"/>
                <w:szCs w:val="20"/>
              </w:rPr>
              <w:t xml:space="preserve">It enables "Shift-Left" security by creating an inventory of all AI models and agents. By identifying vulnerabilities before production, it prevents the introduction of malicious code or poisoned data into your ecosystem.</w:t>
            </w:r>
          </w:p>
        </w:tc>
      </w:tr>
    </w:tbl>
    <w:p>
      <w:pPr>
        <w:spacing w:after="50"/>
      </w:pPr>
      <w:r>
        <w:rPr>
          <w:rFonts w:ascii="Calibri" w:cs="Calibri" w:eastAsia="Calibri" w:hAnsi="Calibri"/>
          <w:color w:val="14263A"/>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0" w:hRule="atLeast"/>
        </w:trPr>
        <w:tc>
          <w:tcPr>
            <w:tcW w:type="dxa" w:w="9360"/>
            <w:tcBorders>
              <w:top w:val="single" w:color="E1E8F1" w:sz="6"/>
              <w:left w:val="single" w:color="E1E8F1" w:sz="6"/>
              <w:bottom w:val="single" w:color="E1E8F1" w:sz="6"/>
              <w:right w:val="single" w:color="E1E8F1" w:sz="6"/>
            </w:tcBorders>
            <w:shd w:fill="F7F9FC" w:color="auto" w:val="clear"/>
            <w:tcMar>
              <w:top w:type="dxa" w:w="120"/>
              <w:left w:type="dxa" w:w="160"/>
              <w:bottom w:type="dxa" w:w="120"/>
              <w:right w:type="dxa" w:w="160"/>
            </w:tcMar>
            <w:vAlign w:val="top"/>
          </w:tcPr>
          <w:p>
            <w:pPr>
              <w:spacing w:after="0"/>
            </w:pPr>
            <w:r>
              <w:rPr>
                <w:rFonts w:ascii="Calibri" w:cs="Calibri" w:eastAsia="Calibri" w:hAnsi="Calibri"/>
                <w:b/>
                <w:bCs/>
                <w:color w:val="0D274D"/>
                <w:sz w:val="17"/>
                <w:szCs w:val="17"/>
              </w:rPr>
              <w:t xml:space="preserve">Level cues:  </w:t>
            </w:r>
            <w:r>
              <w:rPr>
                <w:rFonts w:ascii="Calibri" w:cs="Calibri" w:eastAsia="Calibri" w:hAnsi="Calibri"/>
                <w:b/>
                <w:bCs/>
                <w:color w:val="B4711A"/>
                <w:sz w:val="17"/>
                <w:szCs w:val="17"/>
              </w:rPr>
              <w:t xml:space="preserve">Associate (6–13) </w:t>
            </w:r>
            <w:r>
              <w:rPr>
                <w:rFonts w:ascii="Calibri" w:cs="Calibri" w:eastAsia="Calibri" w:hAnsi="Calibri"/>
                <w:color w:val="46566E"/>
                <w:sz w:val="17"/>
                <w:szCs w:val="17"/>
              </w:rPr>
              <w:t xml:space="preserve">names AI Defense, generic.   </w:t>
            </w:r>
            <w:r>
              <w:rPr>
                <w:rFonts w:ascii="Calibri" w:cs="Calibri" w:eastAsia="Calibri" w:hAnsi="Calibri"/>
                <w:b/>
                <w:bCs/>
                <w:color w:val="036C8F"/>
                <w:sz w:val="17"/>
                <w:szCs w:val="17"/>
              </w:rPr>
              <w:t xml:space="preserve">Professional (14–20) </w:t>
            </w:r>
            <w:r>
              <w:rPr>
                <w:rFonts w:ascii="Calibri" w:cs="Calibri" w:eastAsia="Calibri" w:hAnsi="Calibri"/>
                <w:color w:val="46566E"/>
                <w:sz w:val="17"/>
                <w:szCs w:val="17"/>
              </w:rPr>
              <w:t xml:space="preserve">+ how it addresses the concern.   </w:t>
            </w:r>
            <w:r>
              <w:rPr>
                <w:rFonts w:ascii="Calibri" w:cs="Calibri" w:eastAsia="Calibri" w:hAnsi="Calibri"/>
                <w:b/>
                <w:bCs/>
                <w:color w:val="1F8A63"/>
                <w:sz w:val="17"/>
                <w:szCs w:val="17"/>
              </w:rPr>
              <w:t xml:space="preserve">Expert (21–25) </w:t>
            </w:r>
            <w:r>
              <w:rPr>
                <w:rFonts w:ascii="Calibri" w:cs="Calibri" w:eastAsia="Calibri" w:hAnsi="Calibri"/>
                <w:color w:val="46566E"/>
                <w:sz w:val="17"/>
                <w:szCs w:val="17"/>
              </w:rPr>
              <w:t xml:space="preserve">+ Cedarline-specific reasoning &amp; outcome, ties to HMF.</w:t>
            </w:r>
          </w:p>
        </w:tc>
      </w:tr>
    </w:tbl>
    <w:p>
      <w:pPr>
        <w:spacing w:after="160"/>
      </w:pPr>
      <w:r>
        <w:rPr>
          <w:rFonts w:ascii="Calibri" w:cs="Calibri" w:eastAsia="Calibri" w:hAnsi="Calibri"/>
          <w:color w:val="14263A"/>
          <w:sz w:val="2"/>
          <w:szCs w:val="2"/>
        </w:rPr>
        <w:t xml:space="preserve"/>
      </w:r>
    </w:p>
    <w:tbl>
      <w:tblPr>
        <w:tblW w:type="dxa" w:w="9360"/>
        <w:tblBorders>
          <w:top w:val="single" w:color="C4D2E2" w:sz="6"/>
          <w:left w:val="single" w:color="C4D2E2" w:sz="6"/>
          <w:bottom w:val="single" w:color="C4D2E2" w:sz="6"/>
          <w:right w:val="single" w:color="C4D2E2" w:sz="6"/>
          <w:insideH w:val="none" w:color="FFFFFF" w:sz="0"/>
          <w:insideV w:val="none" w:color="FFFFFF" w:sz="0"/>
        </w:tblBorders>
      </w:tblPr>
      <w:tblGrid>
        <w:gridCol w:w="2200"/>
        <w:gridCol w:w="7160"/>
      </w:tblGrid>
      <w:tr>
        <w:tc>
          <w:tcPr>
            <w:tcW w:type="dxa" w:w="9360"/>
            <w:gridSpan w:val="2"/>
            <w:tcBorders>
              <w:top w:val="none" w:color="FFFFFF" w:sz="0"/>
              <w:left w:val="none" w:color="FFFFFF" w:sz="0"/>
              <w:bottom w:val="none" w:color="FFFFFF" w:sz="0"/>
              <w:right w:val="none" w:color="FFFFFF" w:sz="0"/>
            </w:tcBorders>
            <w:shd w:fill="0D274D" w:color="auto" w:val="clear"/>
            <w:tcMar>
              <w:top w:type="dxa" w:w="60"/>
              <w:left w:type="dxa" w:w="160"/>
              <w:bottom w:type="dxa" w:w="60"/>
              <w:right w:type="dxa" w:w="160"/>
            </w:tcMar>
          </w:tcPr>
          <w:p>
            <w:pPr>
              <w:tabs>
                <w:tab w:val="right" w:pos="9100"/>
              </w:tabs>
              <w:spacing w:after="0"/>
            </w:pPr>
            <w:r>
              <w:rPr>
                <w:rFonts w:ascii="Calibri" w:cs="Calibri" w:eastAsia="Calibri" w:hAnsi="Calibri"/>
                <w:b/>
                <w:bCs/>
                <w:color w:val="FFFFFF"/>
                <w:sz w:val="21"/>
                <w:szCs w:val="21"/>
              </w:rPr>
              <w:t xml:space="preserve">Pain Point 3</w:t>
            </w:r>
            <w:r>
              <w:rPr>
                <w:rFonts w:ascii="Calibri" w:cs="Calibri" w:eastAsia="Calibri" w:hAnsi="Calibri"/>
                <w:b/>
                <w:bCs/>
                <w:color w:val="7FE2EF"/>
                <w:sz w:val="18"/>
                <w:szCs w:val="18"/>
              </w:rPr>
              <w:t xml:space="preserve">	25 pts</w:t>
            </w:r>
          </w:p>
        </w:tc>
      </w:tr>
      <w:tr>
        <w:tc>
          <w:tcPr>
            <w:tcW w:type="dxa" w:w="9360"/>
            <w:gridSpan w:val="2"/>
            <w:tcBorders>
              <w:top w:val="none" w:color="FFFFFF" w:sz="0"/>
              <w:left w:val="none" w:color="FFFFFF" w:sz="0"/>
              <w:bottom w:val="single" w:color="E4EBF3" w:sz="4"/>
              <w:right w:val="none" w:color="FFFFFF" w:sz="0"/>
            </w:tcBorders>
            <w:shd w:fill="FBFCFE" w:color="auto" w:val="clear"/>
            <w:tcMar>
              <w:top w:type="dxa" w:w="90"/>
              <w:left w:type="dxa" w:w="160"/>
              <w:bottom w:type="dxa" w:w="90"/>
              <w:right w:type="dxa" w:w="160"/>
            </w:tcMar>
          </w:tcPr>
          <w:p>
            <w:pPr>
              <w:spacing w:after="0" w:before="0" w:line="276"/>
            </w:pPr>
            <w:r>
              <w:rPr>
                <w:rFonts w:ascii="Calibri" w:cs="Calibri" w:eastAsia="Calibri" w:hAnsi="Calibri"/>
                <w:i/>
                <w:iCs/>
                <w:color w:val="22344A"/>
                <w:sz w:val="20"/>
                <w:szCs w:val="20"/>
              </w:rPr>
              <w:t xml:space="preserve">We know AI is showing up across our cloud environments faster than security can track it. We're worried we have models, agents, datasets, and MCP-connected tools running without visibility or consistent controls.</w:t>
            </w:r>
          </w:p>
        </w:tc>
      </w:tr>
      <w:tr>
        <w:tc>
          <w:tcPr>
            <w:tcW w:type="dxa" w:w="2200"/>
            <w:tcBorders>
              <w:top w:val="none" w:color="FFFFFF" w:sz="0"/>
              <w:left w:val="none" w:color="FFFFFF" w:sz="0"/>
              <w:bottom w:val="single" w:color="E4EBF3" w:sz="4"/>
              <w:right w:val="none" w:color="FFFFFF" w:sz="0"/>
            </w:tcBorders>
            <w:shd w:fill="F7F9FC" w:color="auto" w:val="clear"/>
            <w:tcMar>
              <w:top w:type="dxa" w:w="60"/>
              <w:left w:type="dxa" w:w="160"/>
              <w:bottom w:type="dxa" w:w="60"/>
              <w:right w:type="dxa" w:w="100"/>
            </w:tcMar>
          </w:tcPr>
          <w:p>
            <w:pPr>
              <w:spacing w:after="0" w:before="0" w:line="276"/>
            </w:pPr>
            <w:r>
              <w:rPr>
                <w:rFonts w:ascii="Calibri" w:cs="Calibri" w:eastAsia="Calibri" w:hAnsi="Calibri"/>
                <w:b/>
                <w:bCs/>
                <w:caps/>
                <w:color w:val="036C8F"/>
                <w:sz w:val="16"/>
                <w:szCs w:val="16"/>
              </w:rPr>
              <w:t xml:space="preserve">Product / Platform</w:t>
            </w:r>
          </w:p>
        </w:tc>
        <w:tc>
          <w:tcPr>
            <w:tcW w:type="dxa" w:w="7160"/>
            <w:tcBorders>
              <w:top w:val="none" w:color="FFFFFF" w:sz="0"/>
              <w:left w:val="none" w:color="FFFFFF" w:sz="0"/>
              <w:bottom w:val="single" w:color="E4EBF3" w:sz="4"/>
              <w:right w:val="none" w:color="FFFFFF" w:sz="0"/>
            </w:tcBorders>
            <w:tcMar>
              <w:top w:type="dxa" w:w="60"/>
              <w:left w:type="dxa" w:w="160"/>
              <w:bottom w:type="dxa" w:w="60"/>
              <w:right w:type="dxa" w:w="160"/>
            </w:tcMar>
          </w:tcPr>
          <w:p>
            <w:pPr>
              <w:spacing w:after="0" w:before="0" w:line="276"/>
            </w:pPr>
            <w:r>
              <w:rPr>
                <w:rFonts w:ascii="Calibri" w:cs="Calibri" w:eastAsia="Calibri" w:hAnsi="Calibri"/>
                <w:b/>
                <w:bCs/>
                <w:color w:val="036C8F"/>
                <w:sz w:val="20"/>
                <w:szCs w:val="20"/>
              </w:rPr>
              <w:t xml:space="preserve">Cisco AI Defense - AI Cloud Visibility</w:t>
            </w:r>
            <w:r>
              <w:rPr>
                <w:rFonts w:ascii="Calibri" w:cs="Calibri" w:eastAsia="Calibri" w:hAnsi="Calibri"/>
                <w:color w:val="7E8CA1"/>
                <w:sz w:val="18"/>
                <w:szCs w:val="18"/>
              </w:rPr>
              <w:t xml:space="preserve">  · Ai Cloud Visibility</w:t>
            </w:r>
          </w:p>
        </w:tc>
      </w:tr>
      <w:tr>
        <w:tc>
          <w:tcPr>
            <w:tcW w:type="dxa" w:w="2200"/>
            <w:tcBorders>
              <w:top w:val="none" w:color="FFFFFF" w:sz="0"/>
              <w:left w:val="none" w:color="FFFFFF" w:sz="0"/>
              <w:bottom w:val="single" w:color="E4EBF3" w:sz="4"/>
              <w:right w:val="none" w:color="FFFFFF" w:sz="0"/>
            </w:tcBorders>
            <w:shd w:fill="F7F9FC" w:color="auto" w:val="clear"/>
            <w:tcMar>
              <w:top w:type="dxa" w:w="60"/>
              <w:left w:type="dxa" w:w="160"/>
              <w:bottom w:type="dxa" w:w="60"/>
              <w:right w:type="dxa" w:w="100"/>
            </w:tcMar>
          </w:tcPr>
          <w:p>
            <w:pPr>
              <w:spacing w:after="0" w:before="0" w:line="276"/>
            </w:pPr>
            <w:r>
              <w:rPr>
                <w:rFonts w:ascii="Calibri" w:cs="Calibri" w:eastAsia="Calibri" w:hAnsi="Calibri"/>
                <w:b/>
                <w:bCs/>
                <w:caps/>
                <w:color w:val="036C8F"/>
                <w:sz w:val="16"/>
                <w:szCs w:val="16"/>
              </w:rPr>
              <w:t xml:space="preserve">Model SE response</w:t>
            </w:r>
          </w:p>
        </w:tc>
        <w:tc>
          <w:tcPr>
            <w:tcW w:type="dxa" w:w="7160"/>
            <w:tcBorders>
              <w:top w:val="none" w:color="FFFFFF" w:sz="0"/>
              <w:left w:val="none" w:color="FFFFFF" w:sz="0"/>
              <w:bottom w:val="single" w:color="E4EBF3" w:sz="4"/>
              <w:right w:val="none" w:color="FFFFFF" w:sz="0"/>
            </w:tcBorders>
            <w:tcMar>
              <w:top w:type="dxa" w:w="60"/>
              <w:left w:type="dxa" w:w="160"/>
              <w:bottom w:type="dxa" w:w="60"/>
              <w:right w:type="dxa" w:w="160"/>
            </w:tcMar>
          </w:tcPr>
          <w:p>
            <w:pPr>
              <w:spacing w:after="0" w:before="0" w:line="276"/>
            </w:pPr>
            <w:r>
              <w:rPr>
                <w:rFonts w:ascii="Calibri" w:cs="Calibri" w:eastAsia="Calibri" w:hAnsi="Calibri"/>
                <w:color w:val="22344A"/>
                <w:sz w:val="20"/>
                <w:szCs w:val="20"/>
              </w:rPr>
              <w:t xml:space="preserve">That's exactly the visibility gap Cisco AI Defense is built to solve. With AI Cloud Visibility, Cisco AI Defense continuously discovers AI assets across distributed cloud environments, including models, agents, datasets, MCP servers, and agent-to-tool workflows. Instead of relying on teams to manually identify what exists, you get a centralized view of your AI attack surface so you can find unsanctioned assets, assess whether they are protected, and bring them under policy.</w:t>
            </w:r>
          </w:p>
        </w:tc>
      </w:tr>
      <w:tr>
        <w:tc>
          <w:tcPr>
            <w:tcW w:type="dxa" w:w="2200"/>
            <w:tcBorders>
              <w:top w:val="none" w:color="FFFFFF" w:sz="0"/>
              <w:left w:val="none" w:color="FFFFFF" w:sz="0"/>
              <w:bottom w:val="single" w:color="E4EBF3" w:sz="4"/>
              <w:right w:val="none" w:color="FFFFFF" w:sz="0"/>
            </w:tcBorders>
            <w:shd w:fill="F7F9FC" w:color="auto" w:val="clear"/>
            <w:tcMar>
              <w:top w:type="dxa" w:w="60"/>
              <w:left w:type="dxa" w:w="160"/>
              <w:bottom w:type="dxa" w:w="60"/>
              <w:right w:type="dxa" w:w="100"/>
            </w:tcMar>
          </w:tcPr>
          <w:p>
            <w:pPr>
              <w:spacing w:after="0" w:before="0" w:line="276"/>
            </w:pPr>
            <w:r>
              <w:rPr>
                <w:rFonts w:ascii="Calibri" w:cs="Calibri" w:eastAsia="Calibri" w:hAnsi="Calibri"/>
                <w:b/>
                <w:bCs/>
                <w:caps/>
                <w:color w:val="036C8F"/>
                <w:sz w:val="16"/>
                <w:szCs w:val="16"/>
              </w:rPr>
              <w:t xml:space="preserve">How it helps</w:t>
            </w:r>
          </w:p>
        </w:tc>
        <w:tc>
          <w:tcPr>
            <w:tcW w:type="dxa" w:w="7160"/>
            <w:tcBorders>
              <w:top w:val="none" w:color="FFFFFF" w:sz="0"/>
              <w:left w:val="none" w:color="FFFFFF" w:sz="0"/>
              <w:bottom w:val="single" w:color="E4EBF3" w:sz="4"/>
              <w:right w:val="none" w:color="FFFFFF" w:sz="0"/>
            </w:tcBorders>
            <w:tcMar>
              <w:top w:type="dxa" w:w="60"/>
              <w:left w:type="dxa" w:w="160"/>
              <w:bottom w:type="dxa" w:w="60"/>
              <w:right w:type="dxa" w:w="160"/>
            </w:tcMar>
          </w:tcPr>
          <w:p>
            <w:pPr>
              <w:spacing w:after="0" w:before="0" w:line="276"/>
            </w:pPr>
            <w:r>
              <w:rPr>
                <w:rFonts w:ascii="Calibri" w:cs="Calibri" w:eastAsia="Calibri" w:hAnsi="Calibri"/>
                <w:color w:val="22344A"/>
                <w:sz w:val="20"/>
                <w:szCs w:val="20"/>
              </w:rPr>
              <w:t xml:space="preserve">dentifies rogue or unsanctioned AI assets
Maps relationships across data, models, agents, and tools
Gives security teams a single-pane-of-glass view of AI exposure
Helps close gaps before unknown AI usage becomes a production risk</w:t>
            </w:r>
          </w:p>
        </w:tc>
      </w:tr>
    </w:tbl>
    <w:p>
      <w:pPr>
        <w:spacing w:after="50"/>
      </w:pPr>
      <w:r>
        <w:rPr>
          <w:rFonts w:ascii="Calibri" w:cs="Calibri" w:eastAsia="Calibri" w:hAnsi="Calibri"/>
          <w:color w:val="14263A"/>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0" w:hRule="atLeast"/>
        </w:trPr>
        <w:tc>
          <w:tcPr>
            <w:tcW w:type="dxa" w:w="9360"/>
            <w:tcBorders>
              <w:top w:val="single" w:color="E1E8F1" w:sz="6"/>
              <w:left w:val="single" w:color="E1E8F1" w:sz="6"/>
              <w:bottom w:val="single" w:color="E1E8F1" w:sz="6"/>
              <w:right w:val="single" w:color="E1E8F1" w:sz="6"/>
            </w:tcBorders>
            <w:shd w:fill="F7F9FC" w:color="auto" w:val="clear"/>
            <w:tcMar>
              <w:top w:type="dxa" w:w="120"/>
              <w:left w:type="dxa" w:w="160"/>
              <w:bottom w:type="dxa" w:w="120"/>
              <w:right w:type="dxa" w:w="160"/>
            </w:tcMar>
            <w:vAlign w:val="top"/>
          </w:tcPr>
          <w:p>
            <w:pPr>
              <w:spacing w:after="0"/>
            </w:pPr>
            <w:r>
              <w:rPr>
                <w:rFonts w:ascii="Calibri" w:cs="Calibri" w:eastAsia="Calibri" w:hAnsi="Calibri"/>
                <w:b/>
                <w:bCs/>
                <w:color w:val="0D274D"/>
                <w:sz w:val="17"/>
                <w:szCs w:val="17"/>
              </w:rPr>
              <w:t xml:space="preserve">Level cues:  </w:t>
            </w:r>
            <w:r>
              <w:rPr>
                <w:rFonts w:ascii="Calibri" w:cs="Calibri" w:eastAsia="Calibri" w:hAnsi="Calibri"/>
                <w:b/>
                <w:bCs/>
                <w:color w:val="B4711A"/>
                <w:sz w:val="17"/>
                <w:szCs w:val="17"/>
              </w:rPr>
              <w:t xml:space="preserve">Associate (6–13) </w:t>
            </w:r>
            <w:r>
              <w:rPr>
                <w:rFonts w:ascii="Calibri" w:cs="Calibri" w:eastAsia="Calibri" w:hAnsi="Calibri"/>
                <w:color w:val="46566E"/>
                <w:sz w:val="17"/>
                <w:szCs w:val="17"/>
              </w:rPr>
              <w:t xml:space="preserve">names Cisco AI Defense - AI Cloud Visibility, generic.   </w:t>
            </w:r>
            <w:r>
              <w:rPr>
                <w:rFonts w:ascii="Calibri" w:cs="Calibri" w:eastAsia="Calibri" w:hAnsi="Calibri"/>
                <w:b/>
                <w:bCs/>
                <w:color w:val="036C8F"/>
                <w:sz w:val="17"/>
                <w:szCs w:val="17"/>
              </w:rPr>
              <w:t xml:space="preserve">Professional (14–20) </w:t>
            </w:r>
            <w:r>
              <w:rPr>
                <w:rFonts w:ascii="Calibri" w:cs="Calibri" w:eastAsia="Calibri" w:hAnsi="Calibri"/>
                <w:color w:val="46566E"/>
                <w:sz w:val="17"/>
                <w:szCs w:val="17"/>
              </w:rPr>
              <w:t xml:space="preserve">+ how it addresses the concern.   </w:t>
            </w:r>
            <w:r>
              <w:rPr>
                <w:rFonts w:ascii="Calibri" w:cs="Calibri" w:eastAsia="Calibri" w:hAnsi="Calibri"/>
                <w:b/>
                <w:bCs/>
                <w:color w:val="1F8A63"/>
                <w:sz w:val="17"/>
                <w:szCs w:val="17"/>
              </w:rPr>
              <w:t xml:space="preserve">Expert (21–25) </w:t>
            </w:r>
            <w:r>
              <w:rPr>
                <w:rFonts w:ascii="Calibri" w:cs="Calibri" w:eastAsia="Calibri" w:hAnsi="Calibri"/>
                <w:color w:val="46566E"/>
                <w:sz w:val="17"/>
                <w:szCs w:val="17"/>
              </w:rPr>
              <w:t xml:space="preserve">+ Cedarline-specific reasoning &amp; outcome, ties to HMF.</w:t>
            </w:r>
          </w:p>
        </w:tc>
      </w:tr>
    </w:tbl>
    <w:p>
      <w:pPr>
        <w:spacing w:after="160"/>
      </w:pPr>
      <w:r>
        <w:rPr>
          <w:rFonts w:ascii="Calibri" w:cs="Calibri" w:eastAsia="Calibri" w:hAnsi="Calibri"/>
          <w:color w:val="14263A"/>
          <w:sz w:val="2"/>
          <w:szCs w:val="2"/>
        </w:rPr>
        <w:t xml:space="preserve"/>
      </w:r>
    </w:p>
    <w:tbl>
      <w:tblPr>
        <w:tblW w:type="dxa" w:w="9360"/>
        <w:tblBorders>
          <w:top w:val="single" w:color="C4D2E2" w:sz="6"/>
          <w:left w:val="single" w:color="C4D2E2" w:sz="6"/>
          <w:bottom w:val="single" w:color="C4D2E2" w:sz="6"/>
          <w:right w:val="single" w:color="C4D2E2" w:sz="6"/>
          <w:insideH w:val="none" w:color="FFFFFF" w:sz="0"/>
          <w:insideV w:val="none" w:color="FFFFFF" w:sz="0"/>
        </w:tblBorders>
      </w:tblPr>
      <w:tblGrid>
        <w:gridCol w:w="2200"/>
        <w:gridCol w:w="7160"/>
      </w:tblGrid>
      <w:tr>
        <w:tc>
          <w:tcPr>
            <w:tcW w:type="dxa" w:w="9360"/>
            <w:gridSpan w:val="2"/>
            <w:tcBorders>
              <w:top w:val="none" w:color="FFFFFF" w:sz="0"/>
              <w:left w:val="none" w:color="FFFFFF" w:sz="0"/>
              <w:bottom w:val="none" w:color="FFFFFF" w:sz="0"/>
              <w:right w:val="none" w:color="FFFFFF" w:sz="0"/>
            </w:tcBorders>
            <w:shd w:fill="0D274D" w:color="auto" w:val="clear"/>
            <w:tcMar>
              <w:top w:type="dxa" w:w="60"/>
              <w:left w:type="dxa" w:w="160"/>
              <w:bottom w:type="dxa" w:w="60"/>
              <w:right w:type="dxa" w:w="160"/>
            </w:tcMar>
          </w:tcPr>
          <w:p>
            <w:pPr>
              <w:tabs>
                <w:tab w:val="right" w:pos="9100"/>
              </w:tabs>
              <w:spacing w:after="0"/>
            </w:pPr>
            <w:r>
              <w:rPr>
                <w:rFonts w:ascii="Calibri" w:cs="Calibri" w:eastAsia="Calibri" w:hAnsi="Calibri"/>
                <w:b/>
                <w:bCs/>
                <w:color w:val="FFFFFF"/>
                <w:sz w:val="21"/>
                <w:szCs w:val="21"/>
              </w:rPr>
              <w:t xml:space="preserve">Pain Point 4</w:t>
            </w:r>
            <w:r>
              <w:rPr>
                <w:rFonts w:ascii="Calibri" w:cs="Calibri" w:eastAsia="Calibri" w:hAnsi="Calibri"/>
                <w:b/>
                <w:bCs/>
                <w:color w:val="7FE2EF"/>
                <w:sz w:val="18"/>
                <w:szCs w:val="18"/>
              </w:rPr>
              <w:t xml:space="preserve">	25 pts</w:t>
            </w:r>
          </w:p>
        </w:tc>
      </w:tr>
      <w:tr>
        <w:tc>
          <w:tcPr>
            <w:tcW w:type="dxa" w:w="9360"/>
            <w:gridSpan w:val="2"/>
            <w:tcBorders>
              <w:top w:val="none" w:color="FFFFFF" w:sz="0"/>
              <w:left w:val="none" w:color="FFFFFF" w:sz="0"/>
              <w:bottom w:val="single" w:color="E4EBF3" w:sz="4"/>
              <w:right w:val="none" w:color="FFFFFF" w:sz="0"/>
            </w:tcBorders>
            <w:shd w:fill="FBFCFE" w:color="auto" w:val="clear"/>
            <w:tcMar>
              <w:top w:type="dxa" w:w="90"/>
              <w:left w:type="dxa" w:w="160"/>
              <w:bottom w:type="dxa" w:w="90"/>
              <w:right w:type="dxa" w:w="160"/>
            </w:tcMar>
          </w:tcPr>
          <w:p>
            <w:pPr>
              <w:spacing w:after="0" w:before="0" w:line="276"/>
            </w:pPr>
            <w:r>
              <w:rPr>
                <w:rFonts w:ascii="Calibri" w:cs="Calibri" w:eastAsia="Calibri" w:hAnsi="Calibri"/>
                <w:i/>
                <w:iCs/>
                <w:color w:val="22344A"/>
                <w:sz w:val="20"/>
                <w:szCs w:val="20"/>
              </w:rPr>
              <w:t xml:space="preserve">We're running AI workloads in cloud accounts, but we don't have a reliable way to see which models and AI assets are actually in use. We're also concerned about workloads reaching out to third-party AI models without security knowing about it. And even when we do know the traffic path, we need a practical way to inspect and enforce guardrails on prompt and response traffic in the cloud without changing every application.</w:t>
            </w:r>
          </w:p>
        </w:tc>
      </w:tr>
      <w:tr>
        <w:tc>
          <w:tcPr>
            <w:tcW w:type="dxa" w:w="2200"/>
            <w:tcBorders>
              <w:top w:val="none" w:color="FFFFFF" w:sz="0"/>
              <w:left w:val="none" w:color="FFFFFF" w:sz="0"/>
              <w:bottom w:val="single" w:color="E4EBF3" w:sz="4"/>
              <w:right w:val="none" w:color="FFFFFF" w:sz="0"/>
            </w:tcBorders>
            <w:shd w:fill="F7F9FC" w:color="auto" w:val="clear"/>
            <w:tcMar>
              <w:top w:type="dxa" w:w="60"/>
              <w:left w:type="dxa" w:w="160"/>
              <w:bottom w:type="dxa" w:w="60"/>
              <w:right w:type="dxa" w:w="100"/>
            </w:tcMar>
          </w:tcPr>
          <w:p>
            <w:pPr>
              <w:spacing w:after="0" w:before="0" w:line="276"/>
            </w:pPr>
            <w:r>
              <w:rPr>
                <w:rFonts w:ascii="Calibri" w:cs="Calibri" w:eastAsia="Calibri" w:hAnsi="Calibri"/>
                <w:b/>
                <w:bCs/>
                <w:caps/>
                <w:color w:val="036C8F"/>
                <w:sz w:val="16"/>
                <w:szCs w:val="16"/>
              </w:rPr>
              <w:t xml:space="preserve">Product / Platform</w:t>
            </w:r>
          </w:p>
        </w:tc>
        <w:tc>
          <w:tcPr>
            <w:tcW w:type="dxa" w:w="7160"/>
            <w:tcBorders>
              <w:top w:val="none" w:color="FFFFFF" w:sz="0"/>
              <w:left w:val="none" w:color="FFFFFF" w:sz="0"/>
              <w:bottom w:val="single" w:color="E4EBF3" w:sz="4"/>
              <w:right w:val="none" w:color="FFFFFF" w:sz="0"/>
            </w:tcBorders>
            <w:tcMar>
              <w:top w:type="dxa" w:w="60"/>
              <w:left w:type="dxa" w:w="160"/>
              <w:bottom w:type="dxa" w:w="60"/>
              <w:right w:type="dxa" w:w="160"/>
            </w:tcMar>
          </w:tcPr>
          <w:p>
            <w:pPr>
              <w:spacing w:after="0" w:before="0" w:line="276"/>
            </w:pPr>
            <w:r>
              <w:rPr>
                <w:rFonts w:ascii="Calibri" w:cs="Calibri" w:eastAsia="Calibri" w:hAnsi="Calibri"/>
                <w:b/>
                <w:bCs/>
                <w:color w:val="036C8F"/>
                <w:sz w:val="20"/>
                <w:szCs w:val="20"/>
              </w:rPr>
              <w:t xml:space="preserve">AI Defense = AI visibility and guardrail integration
Multicloud Defense = cloud account connection, traffic visibility, policy attachment, and egress enforcement</w:t>
            </w:r>
            <w:r>
              <w:rPr>
                <w:rFonts w:ascii="Calibri" w:cs="Calibri" w:eastAsia="Calibri" w:hAnsi="Calibri"/>
                <w:color w:val="7E8CA1"/>
                <w:sz w:val="18"/>
                <w:szCs w:val="18"/>
              </w:rPr>
              <w:t xml:space="preserve">  · AI Runtime Protection</w:t>
            </w:r>
          </w:p>
        </w:tc>
      </w:tr>
      <w:tr>
        <w:tc>
          <w:tcPr>
            <w:tcW w:type="dxa" w:w="2200"/>
            <w:tcBorders>
              <w:top w:val="none" w:color="FFFFFF" w:sz="0"/>
              <w:left w:val="none" w:color="FFFFFF" w:sz="0"/>
              <w:bottom w:val="single" w:color="E4EBF3" w:sz="4"/>
              <w:right w:val="none" w:color="FFFFFF" w:sz="0"/>
            </w:tcBorders>
            <w:shd w:fill="F7F9FC" w:color="auto" w:val="clear"/>
            <w:tcMar>
              <w:top w:type="dxa" w:w="60"/>
              <w:left w:type="dxa" w:w="160"/>
              <w:bottom w:type="dxa" w:w="60"/>
              <w:right w:type="dxa" w:w="100"/>
            </w:tcMar>
          </w:tcPr>
          <w:p>
            <w:pPr>
              <w:spacing w:after="0" w:before="0" w:line="276"/>
            </w:pPr>
            <w:r>
              <w:rPr>
                <w:rFonts w:ascii="Calibri" w:cs="Calibri" w:eastAsia="Calibri" w:hAnsi="Calibri"/>
                <w:b/>
                <w:bCs/>
                <w:caps/>
                <w:color w:val="036C8F"/>
                <w:sz w:val="16"/>
                <w:szCs w:val="16"/>
              </w:rPr>
              <w:t xml:space="preserve">Model SE response</w:t>
            </w:r>
          </w:p>
        </w:tc>
        <w:tc>
          <w:tcPr>
            <w:tcW w:type="dxa" w:w="7160"/>
            <w:tcBorders>
              <w:top w:val="none" w:color="FFFFFF" w:sz="0"/>
              <w:left w:val="none" w:color="FFFFFF" w:sz="0"/>
              <w:bottom w:val="single" w:color="E4EBF3" w:sz="4"/>
              <w:right w:val="none" w:color="FFFFFF" w:sz="0"/>
            </w:tcBorders>
            <w:tcMar>
              <w:top w:type="dxa" w:w="60"/>
              <w:left w:type="dxa" w:w="160"/>
              <w:bottom w:type="dxa" w:w="60"/>
              <w:right w:type="dxa" w:w="160"/>
            </w:tcMar>
          </w:tcPr>
          <w:p>
            <w:pPr>
              <w:spacing w:after="0" w:before="0" w:line="276"/>
            </w:pPr>
            <w:r>
              <w:rPr>
                <w:rFonts w:ascii="Calibri" w:cs="Calibri" w:eastAsia="Calibri" w:hAnsi="Calibri"/>
                <w:color w:val="22344A"/>
                <w:sz w:val="20"/>
                <w:szCs w:val="20"/>
              </w:rPr>
              <w:t xml:space="preserve">That's exactly what the AI Defense-Multicloud Defense integration is designed to address. Cisco AI Defense uses the integration to discover AI assets in your cloud environments and identify external AI destinations your workloads are calling. Then Cisco Multicloud Defense provides the cloud account connectivity, traffic visibility, and egress gateway enforcement point where AI Guardrails Profiles can be applied.
In practice, that means you get AI asset visibility plus runtime inspection of prompt and response traffic at the cloud egress layer. AI Defense gives you the AI-specific visibility and guardrail logic, while Multicloud Defense gives you the cloud-network integration and enforcement point.</w:t>
            </w:r>
          </w:p>
        </w:tc>
      </w:tr>
      <w:tr>
        <w:tc>
          <w:tcPr>
            <w:tcW w:type="dxa" w:w="2200"/>
            <w:tcBorders>
              <w:top w:val="none" w:color="FFFFFF" w:sz="0"/>
              <w:left w:val="none" w:color="FFFFFF" w:sz="0"/>
              <w:bottom w:val="single" w:color="E4EBF3" w:sz="4"/>
              <w:right w:val="none" w:color="FFFFFF" w:sz="0"/>
            </w:tcBorders>
            <w:shd w:fill="F7F9FC" w:color="auto" w:val="clear"/>
            <w:tcMar>
              <w:top w:type="dxa" w:w="60"/>
              <w:left w:type="dxa" w:w="160"/>
              <w:bottom w:type="dxa" w:w="60"/>
              <w:right w:type="dxa" w:w="100"/>
            </w:tcMar>
          </w:tcPr>
          <w:p>
            <w:pPr>
              <w:spacing w:after="0" w:before="0" w:line="276"/>
            </w:pPr>
            <w:r>
              <w:rPr>
                <w:rFonts w:ascii="Calibri" w:cs="Calibri" w:eastAsia="Calibri" w:hAnsi="Calibri"/>
                <w:b/>
                <w:bCs/>
                <w:caps/>
                <w:color w:val="036C8F"/>
                <w:sz w:val="16"/>
                <w:szCs w:val="16"/>
              </w:rPr>
              <w:t xml:space="preserve">How it helps</w:t>
            </w:r>
          </w:p>
        </w:tc>
        <w:tc>
          <w:tcPr>
            <w:tcW w:type="dxa" w:w="7160"/>
            <w:tcBorders>
              <w:top w:val="none" w:color="FFFFFF" w:sz="0"/>
              <w:left w:val="none" w:color="FFFFFF" w:sz="0"/>
              <w:bottom w:val="single" w:color="E4EBF3" w:sz="4"/>
              <w:right w:val="none" w:color="FFFFFF" w:sz="0"/>
            </w:tcBorders>
            <w:tcMar>
              <w:top w:type="dxa" w:w="60"/>
              <w:left w:type="dxa" w:w="160"/>
              <w:bottom w:type="dxa" w:w="60"/>
              <w:right w:type="dxa" w:w="160"/>
            </w:tcMar>
          </w:tcPr>
          <w:p>
            <w:pPr>
              <w:spacing w:after="0" w:before="0" w:line="276"/>
            </w:pPr>
            <w:r>
              <w:rPr>
                <w:rFonts w:ascii="Calibri" w:cs="Calibri" w:eastAsia="Calibri" w:hAnsi="Calibri"/>
                <w:color w:val="22344A"/>
                <w:sz w:val="20"/>
                <w:szCs w:val="20"/>
              </w:rPr>
              <w:t xml:space="preserve">Finds AI assets in cloud accounts
Identifies third-party AI model usage
Uses existing cloud-network control points for enforcement
Avoids relying only on application-level changes</w:t>
            </w:r>
          </w:p>
        </w:tc>
      </w:tr>
    </w:tbl>
    <w:p>
      <w:pPr>
        <w:spacing w:after="50"/>
      </w:pPr>
      <w:r>
        <w:rPr>
          <w:rFonts w:ascii="Calibri" w:cs="Calibri" w:eastAsia="Calibri" w:hAnsi="Calibri"/>
          <w:color w:val="14263A"/>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0" w:hRule="atLeast"/>
        </w:trPr>
        <w:tc>
          <w:tcPr>
            <w:tcW w:type="dxa" w:w="9360"/>
            <w:tcBorders>
              <w:top w:val="single" w:color="E1E8F1" w:sz="6"/>
              <w:left w:val="single" w:color="E1E8F1" w:sz="6"/>
              <w:bottom w:val="single" w:color="E1E8F1" w:sz="6"/>
              <w:right w:val="single" w:color="E1E8F1" w:sz="6"/>
            </w:tcBorders>
            <w:shd w:fill="F7F9FC" w:color="auto" w:val="clear"/>
            <w:tcMar>
              <w:top w:type="dxa" w:w="120"/>
              <w:left w:type="dxa" w:w="160"/>
              <w:bottom w:type="dxa" w:w="120"/>
              <w:right w:type="dxa" w:w="160"/>
            </w:tcMar>
            <w:vAlign w:val="top"/>
          </w:tcPr>
          <w:p>
            <w:pPr>
              <w:spacing w:after="0"/>
            </w:pPr>
            <w:r>
              <w:rPr>
                <w:rFonts w:ascii="Calibri" w:cs="Calibri" w:eastAsia="Calibri" w:hAnsi="Calibri"/>
                <w:b/>
                <w:bCs/>
                <w:color w:val="0D274D"/>
                <w:sz w:val="17"/>
                <w:szCs w:val="17"/>
              </w:rPr>
              <w:t xml:space="preserve">Level cues:  </w:t>
            </w:r>
            <w:r>
              <w:rPr>
                <w:rFonts w:ascii="Calibri" w:cs="Calibri" w:eastAsia="Calibri" w:hAnsi="Calibri"/>
                <w:b/>
                <w:bCs/>
                <w:color w:val="B4711A"/>
                <w:sz w:val="17"/>
                <w:szCs w:val="17"/>
              </w:rPr>
              <w:t xml:space="preserve">Associate (6–13) </w:t>
            </w:r>
            <w:r>
              <w:rPr>
                <w:rFonts w:ascii="Calibri" w:cs="Calibri" w:eastAsia="Calibri" w:hAnsi="Calibri"/>
                <w:color w:val="46566E"/>
                <w:sz w:val="17"/>
                <w:szCs w:val="17"/>
              </w:rPr>
              <w:t xml:space="preserve">names AI Defense, generic.   </w:t>
            </w:r>
            <w:r>
              <w:rPr>
                <w:rFonts w:ascii="Calibri" w:cs="Calibri" w:eastAsia="Calibri" w:hAnsi="Calibri"/>
                <w:b/>
                <w:bCs/>
                <w:color w:val="036C8F"/>
                <w:sz w:val="17"/>
                <w:szCs w:val="17"/>
              </w:rPr>
              <w:t xml:space="preserve">Professional (14–20) </w:t>
            </w:r>
            <w:r>
              <w:rPr>
                <w:rFonts w:ascii="Calibri" w:cs="Calibri" w:eastAsia="Calibri" w:hAnsi="Calibri"/>
                <w:color w:val="46566E"/>
                <w:sz w:val="17"/>
                <w:szCs w:val="17"/>
              </w:rPr>
              <w:t xml:space="preserve">+ how it addresses the concern.   </w:t>
            </w:r>
            <w:r>
              <w:rPr>
                <w:rFonts w:ascii="Calibri" w:cs="Calibri" w:eastAsia="Calibri" w:hAnsi="Calibri"/>
                <w:b/>
                <w:bCs/>
                <w:color w:val="1F8A63"/>
                <w:sz w:val="17"/>
                <w:szCs w:val="17"/>
              </w:rPr>
              <w:t xml:space="preserve">Expert (21–25) </w:t>
            </w:r>
            <w:r>
              <w:rPr>
                <w:rFonts w:ascii="Calibri" w:cs="Calibri" w:eastAsia="Calibri" w:hAnsi="Calibri"/>
                <w:color w:val="46566E"/>
                <w:sz w:val="17"/>
                <w:szCs w:val="17"/>
              </w:rPr>
              <w:t xml:space="preserve">+ Cedarline-specific reasoning &amp; outcome, ties to HMF.</w:t>
            </w:r>
          </w:p>
        </w:tc>
      </w:tr>
    </w:tbl>
    <w:p>
      <w:pPr>
        <w:spacing w:after="160"/>
      </w:pPr>
      <w:r>
        <w:rPr>
          <w:rFonts w:ascii="Calibri" w:cs="Calibri" w:eastAsia="Calibri" w:hAnsi="Calibri"/>
          <w:color w:val="14263A"/>
          <w:sz w:val="2"/>
          <w:szCs w:val="2"/>
        </w:rPr>
        <w:t xml:space="preserve"/>
      </w:r>
    </w:p>
    <w:p>
      <w:pPr>
        <w:pageBreakBefore/>
        <w:spacing w:after="0" w:before="0" w:line="276"/>
      </w:pPr>
    </w:p>
    <w:p>
      <w:pPr>
        <w:spacing w:after="40" w:before="0" w:line="276"/>
      </w:pPr>
      <w:r>
        <w:rPr>
          <w:rFonts w:ascii="Calibri" w:cs="Calibri" w:eastAsia="Calibri" w:hAnsi="Calibri"/>
          <w:b/>
          <w:bCs/>
          <w:caps/>
          <w:color w:val="036C8F"/>
          <w:sz w:val="16"/>
          <w:szCs w:val="16"/>
        </w:rPr>
        <w:t xml:space="preserve">Case Study 2 · reference answers</w:t>
      </w:r>
    </w:p>
    <w:p>
      <w:pPr>
        <w:spacing w:after="80" w:before="0" w:line="276"/>
      </w:pPr>
      <w:r>
        <w:rPr>
          <w:rFonts w:ascii="Calibri" w:cs="Calibri" w:eastAsia="Calibri" w:hAnsi="Calibri"/>
          <w:b/>
          <w:bCs/>
          <w:color w:val="0D274D"/>
          <w:sz w:val="30"/>
          <w:szCs w:val="30"/>
        </w:rPr>
        <w:t xml:space="preserve">Cloud Edge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0" w:hRule="atLeast"/>
        </w:trPr>
        <w:tc>
          <w:tcPr>
            <w:tcW w:type="dxa" w:w="9360"/>
            <w:tcBorders>
              <w:top w:val="single" w:color="DCE6F1" w:sz="6"/>
              <w:left w:val="single" w:color="DCE6F1" w:sz="6"/>
              <w:bottom w:val="single" w:color="DCE6F1" w:sz="6"/>
              <w:right w:val="single" w:color="DCE6F1" w:sz="6"/>
            </w:tcBorders>
            <w:shd w:fill="F3F7FB" w:color="auto" w:val="clear"/>
            <w:tcMar>
              <w:top w:type="dxa" w:w="120"/>
              <w:left w:type="dxa" w:w="160"/>
              <w:bottom w:type="dxa" w:w="120"/>
              <w:right w:type="dxa" w:w="160"/>
            </w:tcMar>
            <w:vAlign w:val="top"/>
          </w:tcPr>
          <w:p>
            <w:pPr>
              <w:spacing w:after="0" w:before="0" w:line="276"/>
            </w:pPr>
            <w:r>
              <w:rPr>
                <w:rFonts w:ascii="Calibri" w:cs="Calibri" w:eastAsia="Calibri" w:hAnsi="Calibri"/>
                <w:b/>
                <w:bCs/>
                <w:color w:val="0D274D"/>
                <w:sz w:val="21"/>
                <w:szCs w:val="21"/>
              </w:rPr>
              <w:t xml:space="preserve">Focus.  </w:t>
            </w:r>
            <w:r>
              <w:rPr>
                <w:rFonts w:ascii="Calibri" w:cs="Calibri" w:eastAsia="Calibri" w:hAnsi="Calibri"/>
                <w:color w:val="33465F"/>
                <w:sz w:val="21"/>
                <w:szCs w:val="21"/>
              </w:rPr>
              <w:t xml:space="preserve">Workloads sprawl across AWS, Azure and on-prem, each with its own policy model. Contain lateral movement, prove consistent controls to auditors, and give Cedarline one place to define and enforce policy.</w:t>
            </w:r>
          </w:p>
        </w:tc>
      </w:tr>
    </w:tbl>
    <w:p>
      <w:pPr>
        <w:spacing w:after="140"/>
      </w:pPr>
      <w:r>
        <w:rPr>
          <w:rFonts w:ascii="Calibri" w:cs="Calibri" w:eastAsia="Calibri" w:hAnsi="Calibri"/>
          <w:color w:val="14263A"/>
          <w:sz w:val="2"/>
          <w:szCs w:val="2"/>
        </w:rPr>
        <w:t xml:space="preserve"/>
      </w:r>
    </w:p>
    <w:tbl>
      <w:tblPr>
        <w:tblW w:type="dxa" w:w="9360"/>
        <w:tblBorders>
          <w:top w:val="single" w:color="C4D2E2" w:sz="6"/>
          <w:left w:val="single" w:color="C4D2E2" w:sz="6"/>
          <w:bottom w:val="single" w:color="C4D2E2" w:sz="6"/>
          <w:right w:val="single" w:color="C4D2E2" w:sz="6"/>
          <w:insideH w:val="none" w:color="FFFFFF" w:sz="0"/>
          <w:insideV w:val="none" w:color="FFFFFF" w:sz="0"/>
        </w:tblBorders>
      </w:tblPr>
      <w:tblGrid>
        <w:gridCol w:w="2200"/>
        <w:gridCol w:w="7160"/>
      </w:tblGrid>
      <w:tr>
        <w:tc>
          <w:tcPr>
            <w:tcW w:type="dxa" w:w="9360"/>
            <w:gridSpan w:val="2"/>
            <w:tcBorders>
              <w:top w:val="none" w:color="FFFFFF" w:sz="0"/>
              <w:left w:val="none" w:color="FFFFFF" w:sz="0"/>
              <w:bottom w:val="none" w:color="FFFFFF" w:sz="0"/>
              <w:right w:val="none" w:color="FFFFFF" w:sz="0"/>
            </w:tcBorders>
            <w:shd w:fill="0D274D" w:color="auto" w:val="clear"/>
            <w:tcMar>
              <w:top w:type="dxa" w:w="60"/>
              <w:left w:type="dxa" w:w="160"/>
              <w:bottom w:type="dxa" w:w="60"/>
              <w:right w:type="dxa" w:w="160"/>
            </w:tcMar>
          </w:tcPr>
          <w:p>
            <w:pPr>
              <w:tabs>
                <w:tab w:val="right" w:pos="9100"/>
              </w:tabs>
              <w:spacing w:after="0"/>
            </w:pPr>
            <w:r>
              <w:rPr>
                <w:rFonts w:ascii="Calibri" w:cs="Calibri" w:eastAsia="Calibri" w:hAnsi="Calibri"/>
                <w:b/>
                <w:bCs/>
                <w:color w:val="FFFFFF"/>
                <w:sz w:val="21"/>
                <w:szCs w:val="21"/>
              </w:rPr>
              <w:t xml:space="preserve">Pain Point 1</w:t>
            </w:r>
            <w:r>
              <w:rPr>
                <w:rFonts w:ascii="Calibri" w:cs="Calibri" w:eastAsia="Calibri" w:hAnsi="Calibri"/>
                <w:b/>
                <w:bCs/>
                <w:color w:val="7FE2EF"/>
                <w:sz w:val="18"/>
                <w:szCs w:val="18"/>
              </w:rPr>
              <w:t xml:space="preserve">	25 pts</w:t>
            </w:r>
          </w:p>
        </w:tc>
      </w:tr>
      <w:tr>
        <w:tc>
          <w:tcPr>
            <w:tcW w:type="dxa" w:w="9360"/>
            <w:gridSpan w:val="2"/>
            <w:tcBorders>
              <w:top w:val="none" w:color="FFFFFF" w:sz="0"/>
              <w:left w:val="none" w:color="FFFFFF" w:sz="0"/>
              <w:bottom w:val="single" w:color="E4EBF3" w:sz="4"/>
              <w:right w:val="none" w:color="FFFFFF" w:sz="0"/>
            </w:tcBorders>
            <w:shd w:fill="FBFCFE" w:color="auto" w:val="clear"/>
            <w:tcMar>
              <w:top w:type="dxa" w:w="90"/>
              <w:left w:type="dxa" w:w="160"/>
              <w:bottom w:type="dxa" w:w="90"/>
              <w:right w:type="dxa" w:w="160"/>
            </w:tcMar>
          </w:tcPr>
          <w:p>
            <w:pPr>
              <w:spacing w:after="0" w:before="0" w:line="276"/>
            </w:pPr>
            <w:r>
              <w:rPr>
                <w:rFonts w:ascii="Calibri" w:cs="Calibri" w:eastAsia="Calibri" w:hAnsi="Calibri"/>
                <w:i/>
                <w:iCs/>
                <w:color w:val="22344A"/>
                <w:sz w:val="20"/>
                <w:szCs w:val="20"/>
              </w:rPr>
              <w:t xml:space="preserve">If a breach occurs in one of our public cloud instances, we are terrified that the attacker will move laterally into our core on-premises systems. How can we contain these threats in a multicloud environment?</w:t>
            </w:r>
          </w:p>
        </w:tc>
      </w:tr>
      <w:tr>
        <w:tc>
          <w:tcPr>
            <w:tcW w:type="dxa" w:w="2200"/>
            <w:tcBorders>
              <w:top w:val="none" w:color="FFFFFF" w:sz="0"/>
              <w:left w:val="none" w:color="FFFFFF" w:sz="0"/>
              <w:bottom w:val="single" w:color="E4EBF3" w:sz="4"/>
              <w:right w:val="none" w:color="FFFFFF" w:sz="0"/>
            </w:tcBorders>
            <w:shd w:fill="F7F9FC" w:color="auto" w:val="clear"/>
            <w:tcMar>
              <w:top w:type="dxa" w:w="60"/>
              <w:left w:type="dxa" w:w="160"/>
              <w:bottom w:type="dxa" w:w="60"/>
              <w:right w:type="dxa" w:w="100"/>
            </w:tcMar>
          </w:tcPr>
          <w:p>
            <w:pPr>
              <w:spacing w:after="0" w:before="0" w:line="276"/>
            </w:pPr>
            <w:r>
              <w:rPr>
                <w:rFonts w:ascii="Calibri" w:cs="Calibri" w:eastAsia="Calibri" w:hAnsi="Calibri"/>
                <w:b/>
                <w:bCs/>
                <w:caps/>
                <w:color w:val="036C8F"/>
                <w:sz w:val="16"/>
                <w:szCs w:val="16"/>
              </w:rPr>
              <w:t xml:space="preserve">Product / Platform</w:t>
            </w:r>
          </w:p>
        </w:tc>
        <w:tc>
          <w:tcPr>
            <w:tcW w:type="dxa" w:w="7160"/>
            <w:tcBorders>
              <w:top w:val="none" w:color="FFFFFF" w:sz="0"/>
              <w:left w:val="none" w:color="FFFFFF" w:sz="0"/>
              <w:bottom w:val="single" w:color="E4EBF3" w:sz="4"/>
              <w:right w:val="none" w:color="FFFFFF" w:sz="0"/>
            </w:tcBorders>
            <w:tcMar>
              <w:top w:type="dxa" w:w="60"/>
              <w:left w:type="dxa" w:w="160"/>
              <w:bottom w:type="dxa" w:w="60"/>
              <w:right w:type="dxa" w:w="160"/>
            </w:tcMar>
          </w:tcPr>
          <w:p>
            <w:pPr>
              <w:spacing w:after="0" w:before="0" w:line="276"/>
            </w:pPr>
            <w:r>
              <w:rPr>
                <w:rFonts w:ascii="Calibri" w:cs="Calibri" w:eastAsia="Calibri" w:hAnsi="Calibri"/>
                <w:b/>
                <w:bCs/>
                <w:color w:val="036C8F"/>
                <w:sz w:val="20"/>
                <w:szCs w:val="20"/>
              </w:rPr>
              <w:t xml:space="preserve">Multicloud Defense</w:t>
            </w:r>
            <w:r>
              <w:rPr>
                <w:rFonts w:ascii="Calibri" w:cs="Calibri" w:eastAsia="Calibri" w:hAnsi="Calibri"/>
                <w:color w:val="7E8CA1"/>
                <w:sz w:val="18"/>
                <w:szCs w:val="18"/>
              </w:rPr>
              <w:t xml:space="preserve">  · Multicloud Defense Gateways</w:t>
            </w:r>
          </w:p>
        </w:tc>
      </w:tr>
      <w:tr>
        <w:tc>
          <w:tcPr>
            <w:tcW w:type="dxa" w:w="2200"/>
            <w:tcBorders>
              <w:top w:val="none" w:color="FFFFFF" w:sz="0"/>
              <w:left w:val="none" w:color="FFFFFF" w:sz="0"/>
              <w:bottom w:val="single" w:color="E4EBF3" w:sz="4"/>
              <w:right w:val="none" w:color="FFFFFF" w:sz="0"/>
            </w:tcBorders>
            <w:shd w:fill="F7F9FC" w:color="auto" w:val="clear"/>
            <w:tcMar>
              <w:top w:type="dxa" w:w="60"/>
              <w:left w:type="dxa" w:w="160"/>
              <w:bottom w:type="dxa" w:w="60"/>
              <w:right w:type="dxa" w:w="100"/>
            </w:tcMar>
          </w:tcPr>
          <w:p>
            <w:pPr>
              <w:spacing w:after="0" w:before="0" w:line="276"/>
            </w:pPr>
            <w:r>
              <w:rPr>
                <w:rFonts w:ascii="Calibri" w:cs="Calibri" w:eastAsia="Calibri" w:hAnsi="Calibri"/>
                <w:b/>
                <w:bCs/>
                <w:caps/>
                <w:color w:val="036C8F"/>
                <w:sz w:val="16"/>
                <w:szCs w:val="16"/>
              </w:rPr>
              <w:t xml:space="preserve">Model SE response</w:t>
            </w:r>
          </w:p>
        </w:tc>
        <w:tc>
          <w:tcPr>
            <w:tcW w:type="dxa" w:w="7160"/>
            <w:tcBorders>
              <w:top w:val="none" w:color="FFFFFF" w:sz="0"/>
              <w:left w:val="none" w:color="FFFFFF" w:sz="0"/>
              <w:bottom w:val="single" w:color="E4EBF3" w:sz="4"/>
              <w:right w:val="none" w:color="FFFFFF" w:sz="0"/>
            </w:tcBorders>
            <w:tcMar>
              <w:top w:type="dxa" w:w="60"/>
              <w:left w:type="dxa" w:w="160"/>
              <w:bottom w:type="dxa" w:w="60"/>
              <w:right w:type="dxa" w:w="160"/>
            </w:tcMar>
          </w:tcPr>
          <w:p>
            <w:pPr>
              <w:spacing w:after="0" w:before="0" w:line="276"/>
            </w:pPr>
            <w:r>
              <w:rPr>
                <w:rFonts w:ascii="Calibri" w:cs="Calibri" w:eastAsia="Calibri" w:hAnsi="Calibri"/>
                <w:color w:val="22344A"/>
                <w:sz w:val="20"/>
                <w:szCs w:val="20"/>
              </w:rPr>
              <w:t xml:space="preserve">Multicloud Defense leverages macro and micro-segmentation capabilities to enforce strict communication boundaries. By integrating with our Hybrid Mesh Firewall and Hypershield, we can isolate workloads and inspect traffic between cloud segments, effectively stopping lateral movement before it reaches your sensitive data.</w:t>
            </w:r>
          </w:p>
        </w:tc>
      </w:tr>
      <w:tr>
        <w:tc>
          <w:tcPr>
            <w:tcW w:type="dxa" w:w="2200"/>
            <w:tcBorders>
              <w:top w:val="none" w:color="FFFFFF" w:sz="0"/>
              <w:left w:val="none" w:color="FFFFFF" w:sz="0"/>
              <w:bottom w:val="single" w:color="E4EBF3" w:sz="4"/>
              <w:right w:val="none" w:color="FFFFFF" w:sz="0"/>
            </w:tcBorders>
            <w:shd w:fill="F7F9FC" w:color="auto" w:val="clear"/>
            <w:tcMar>
              <w:top w:type="dxa" w:w="60"/>
              <w:left w:type="dxa" w:w="160"/>
              <w:bottom w:type="dxa" w:w="60"/>
              <w:right w:type="dxa" w:w="100"/>
            </w:tcMar>
          </w:tcPr>
          <w:p>
            <w:pPr>
              <w:spacing w:after="0" w:before="0" w:line="276"/>
            </w:pPr>
            <w:r>
              <w:rPr>
                <w:rFonts w:ascii="Calibri" w:cs="Calibri" w:eastAsia="Calibri" w:hAnsi="Calibri"/>
                <w:b/>
                <w:bCs/>
                <w:caps/>
                <w:color w:val="036C8F"/>
                <w:sz w:val="16"/>
                <w:szCs w:val="16"/>
              </w:rPr>
              <w:t xml:space="preserve">How it helps</w:t>
            </w:r>
          </w:p>
        </w:tc>
        <w:tc>
          <w:tcPr>
            <w:tcW w:type="dxa" w:w="7160"/>
            <w:tcBorders>
              <w:top w:val="none" w:color="FFFFFF" w:sz="0"/>
              <w:left w:val="none" w:color="FFFFFF" w:sz="0"/>
              <w:bottom w:val="single" w:color="E4EBF3" w:sz="4"/>
              <w:right w:val="none" w:color="FFFFFF" w:sz="0"/>
            </w:tcBorders>
            <w:tcMar>
              <w:top w:type="dxa" w:w="60"/>
              <w:left w:type="dxa" w:w="160"/>
              <w:bottom w:type="dxa" w:w="60"/>
              <w:right w:type="dxa" w:w="160"/>
            </w:tcMar>
          </w:tcPr>
          <w:p>
            <w:pPr>
              <w:spacing w:after="0" w:before="0" w:line="276"/>
            </w:pPr>
            <w:r>
              <w:rPr>
                <w:rFonts w:ascii="Calibri" w:cs="Calibri" w:eastAsia="Calibri" w:hAnsi="Calibri"/>
                <w:color w:val="22344A"/>
                <w:sz w:val="20"/>
                <w:szCs w:val="20"/>
              </w:rPr>
              <w:t xml:space="preserve">It provides granular visibility and control over east-west traffic. By applying Zero Trust principles across the hybrid fabric, you transform your network into a series of secure, isolated zones that prevent an attacker from pivoting through your infrastructure.</w:t>
            </w:r>
          </w:p>
        </w:tc>
      </w:tr>
    </w:tbl>
    <w:p>
      <w:pPr>
        <w:spacing w:after="50"/>
      </w:pPr>
      <w:r>
        <w:rPr>
          <w:rFonts w:ascii="Calibri" w:cs="Calibri" w:eastAsia="Calibri" w:hAnsi="Calibri"/>
          <w:color w:val="14263A"/>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0" w:hRule="atLeast"/>
        </w:trPr>
        <w:tc>
          <w:tcPr>
            <w:tcW w:type="dxa" w:w="9360"/>
            <w:tcBorders>
              <w:top w:val="single" w:color="E1E8F1" w:sz="6"/>
              <w:left w:val="single" w:color="E1E8F1" w:sz="6"/>
              <w:bottom w:val="single" w:color="E1E8F1" w:sz="6"/>
              <w:right w:val="single" w:color="E1E8F1" w:sz="6"/>
            </w:tcBorders>
            <w:shd w:fill="F7F9FC" w:color="auto" w:val="clear"/>
            <w:tcMar>
              <w:top w:type="dxa" w:w="120"/>
              <w:left w:type="dxa" w:w="160"/>
              <w:bottom w:type="dxa" w:w="120"/>
              <w:right w:type="dxa" w:w="160"/>
            </w:tcMar>
            <w:vAlign w:val="top"/>
          </w:tcPr>
          <w:p>
            <w:pPr>
              <w:spacing w:after="0"/>
            </w:pPr>
            <w:r>
              <w:rPr>
                <w:rFonts w:ascii="Calibri" w:cs="Calibri" w:eastAsia="Calibri" w:hAnsi="Calibri"/>
                <w:b/>
                <w:bCs/>
                <w:color w:val="0D274D"/>
                <w:sz w:val="17"/>
                <w:szCs w:val="17"/>
              </w:rPr>
              <w:t xml:space="preserve">Level cues:  </w:t>
            </w:r>
            <w:r>
              <w:rPr>
                <w:rFonts w:ascii="Calibri" w:cs="Calibri" w:eastAsia="Calibri" w:hAnsi="Calibri"/>
                <w:b/>
                <w:bCs/>
                <w:color w:val="B4711A"/>
                <w:sz w:val="17"/>
                <w:szCs w:val="17"/>
              </w:rPr>
              <w:t xml:space="preserve">Associate (6–13) </w:t>
            </w:r>
            <w:r>
              <w:rPr>
                <w:rFonts w:ascii="Calibri" w:cs="Calibri" w:eastAsia="Calibri" w:hAnsi="Calibri"/>
                <w:color w:val="46566E"/>
                <w:sz w:val="17"/>
                <w:szCs w:val="17"/>
              </w:rPr>
              <w:t xml:space="preserve">names Multicloud Defense, generic.   </w:t>
            </w:r>
            <w:r>
              <w:rPr>
                <w:rFonts w:ascii="Calibri" w:cs="Calibri" w:eastAsia="Calibri" w:hAnsi="Calibri"/>
                <w:b/>
                <w:bCs/>
                <w:color w:val="036C8F"/>
                <w:sz w:val="17"/>
                <w:szCs w:val="17"/>
              </w:rPr>
              <w:t xml:space="preserve">Professional (14–20) </w:t>
            </w:r>
            <w:r>
              <w:rPr>
                <w:rFonts w:ascii="Calibri" w:cs="Calibri" w:eastAsia="Calibri" w:hAnsi="Calibri"/>
                <w:color w:val="46566E"/>
                <w:sz w:val="17"/>
                <w:szCs w:val="17"/>
              </w:rPr>
              <w:t xml:space="preserve">+ how it addresses the concern.   </w:t>
            </w:r>
            <w:r>
              <w:rPr>
                <w:rFonts w:ascii="Calibri" w:cs="Calibri" w:eastAsia="Calibri" w:hAnsi="Calibri"/>
                <w:b/>
                <w:bCs/>
                <w:color w:val="1F8A63"/>
                <w:sz w:val="17"/>
                <w:szCs w:val="17"/>
              </w:rPr>
              <w:t xml:space="preserve">Expert (21–25) </w:t>
            </w:r>
            <w:r>
              <w:rPr>
                <w:rFonts w:ascii="Calibri" w:cs="Calibri" w:eastAsia="Calibri" w:hAnsi="Calibri"/>
                <w:color w:val="46566E"/>
                <w:sz w:val="17"/>
                <w:szCs w:val="17"/>
              </w:rPr>
              <w:t xml:space="preserve">+ Cedarline-specific reasoning &amp; outcome, ties to HMF.</w:t>
            </w:r>
          </w:p>
        </w:tc>
      </w:tr>
    </w:tbl>
    <w:p>
      <w:pPr>
        <w:spacing w:after="160"/>
      </w:pPr>
      <w:r>
        <w:rPr>
          <w:rFonts w:ascii="Calibri" w:cs="Calibri" w:eastAsia="Calibri" w:hAnsi="Calibri"/>
          <w:color w:val="14263A"/>
          <w:sz w:val="2"/>
          <w:szCs w:val="2"/>
        </w:rPr>
        <w:t xml:space="preserve"/>
      </w:r>
    </w:p>
    <w:tbl>
      <w:tblPr>
        <w:tblW w:type="dxa" w:w="9360"/>
        <w:tblBorders>
          <w:top w:val="single" w:color="C4D2E2" w:sz="6"/>
          <w:left w:val="single" w:color="C4D2E2" w:sz="6"/>
          <w:bottom w:val="single" w:color="C4D2E2" w:sz="6"/>
          <w:right w:val="single" w:color="C4D2E2" w:sz="6"/>
          <w:insideH w:val="none" w:color="FFFFFF" w:sz="0"/>
          <w:insideV w:val="none" w:color="FFFFFF" w:sz="0"/>
        </w:tblBorders>
      </w:tblPr>
      <w:tblGrid>
        <w:gridCol w:w="2200"/>
        <w:gridCol w:w="7160"/>
      </w:tblGrid>
      <w:tr>
        <w:tc>
          <w:tcPr>
            <w:tcW w:type="dxa" w:w="9360"/>
            <w:gridSpan w:val="2"/>
            <w:tcBorders>
              <w:top w:val="none" w:color="FFFFFF" w:sz="0"/>
              <w:left w:val="none" w:color="FFFFFF" w:sz="0"/>
              <w:bottom w:val="none" w:color="FFFFFF" w:sz="0"/>
              <w:right w:val="none" w:color="FFFFFF" w:sz="0"/>
            </w:tcBorders>
            <w:shd w:fill="0D274D" w:color="auto" w:val="clear"/>
            <w:tcMar>
              <w:top w:type="dxa" w:w="60"/>
              <w:left w:type="dxa" w:w="160"/>
              <w:bottom w:type="dxa" w:w="60"/>
              <w:right w:type="dxa" w:w="160"/>
            </w:tcMar>
          </w:tcPr>
          <w:p>
            <w:pPr>
              <w:tabs>
                <w:tab w:val="right" w:pos="9100"/>
              </w:tabs>
              <w:spacing w:after="0"/>
            </w:pPr>
            <w:r>
              <w:rPr>
                <w:rFonts w:ascii="Calibri" w:cs="Calibri" w:eastAsia="Calibri" w:hAnsi="Calibri"/>
                <w:b/>
                <w:bCs/>
                <w:color w:val="FFFFFF"/>
                <w:sz w:val="21"/>
                <w:szCs w:val="21"/>
              </w:rPr>
              <w:t xml:space="preserve">Pain Point 2</w:t>
            </w:r>
            <w:r>
              <w:rPr>
                <w:rFonts w:ascii="Calibri" w:cs="Calibri" w:eastAsia="Calibri" w:hAnsi="Calibri"/>
                <w:b/>
                <w:bCs/>
                <w:color w:val="7FE2EF"/>
                <w:sz w:val="18"/>
                <w:szCs w:val="18"/>
              </w:rPr>
              <w:t xml:space="preserve">	25 pts</w:t>
            </w:r>
          </w:p>
        </w:tc>
      </w:tr>
      <w:tr>
        <w:tc>
          <w:tcPr>
            <w:tcW w:type="dxa" w:w="9360"/>
            <w:gridSpan w:val="2"/>
            <w:tcBorders>
              <w:top w:val="none" w:color="FFFFFF" w:sz="0"/>
              <w:left w:val="none" w:color="FFFFFF" w:sz="0"/>
              <w:bottom w:val="single" w:color="E4EBF3" w:sz="4"/>
              <w:right w:val="none" w:color="FFFFFF" w:sz="0"/>
            </w:tcBorders>
            <w:shd w:fill="FBFCFE" w:color="auto" w:val="clear"/>
            <w:tcMar>
              <w:top w:type="dxa" w:w="90"/>
              <w:left w:type="dxa" w:w="160"/>
              <w:bottom w:type="dxa" w:w="90"/>
              <w:right w:type="dxa" w:w="160"/>
            </w:tcMar>
          </w:tcPr>
          <w:p>
            <w:pPr>
              <w:spacing w:after="0" w:before="0" w:line="276"/>
            </w:pPr>
            <w:r>
              <w:rPr>
                <w:rFonts w:ascii="Calibri" w:cs="Calibri" w:eastAsia="Calibri" w:hAnsi="Calibri"/>
                <w:i/>
                <w:iCs/>
                <w:color w:val="22344A"/>
                <w:sz w:val="20"/>
                <w:szCs w:val="20"/>
              </w:rPr>
              <w:t xml:space="preserve">Our auditors require proof that our security controls are applied consistently across all our cloud workloads. Gathering this data from different cloud providers is a manual, time-consuming nightmare.</w:t>
            </w:r>
          </w:p>
        </w:tc>
      </w:tr>
      <w:tr>
        <w:tc>
          <w:tcPr>
            <w:tcW w:type="dxa" w:w="2200"/>
            <w:tcBorders>
              <w:top w:val="none" w:color="FFFFFF" w:sz="0"/>
              <w:left w:val="none" w:color="FFFFFF" w:sz="0"/>
              <w:bottom w:val="single" w:color="E4EBF3" w:sz="4"/>
              <w:right w:val="none" w:color="FFFFFF" w:sz="0"/>
            </w:tcBorders>
            <w:shd w:fill="F7F9FC" w:color="auto" w:val="clear"/>
            <w:tcMar>
              <w:top w:type="dxa" w:w="60"/>
              <w:left w:type="dxa" w:w="160"/>
              <w:bottom w:type="dxa" w:w="60"/>
              <w:right w:type="dxa" w:w="100"/>
            </w:tcMar>
          </w:tcPr>
          <w:p>
            <w:pPr>
              <w:spacing w:after="0" w:before="0" w:line="276"/>
            </w:pPr>
            <w:r>
              <w:rPr>
                <w:rFonts w:ascii="Calibri" w:cs="Calibri" w:eastAsia="Calibri" w:hAnsi="Calibri"/>
                <w:b/>
                <w:bCs/>
                <w:caps/>
                <w:color w:val="036C8F"/>
                <w:sz w:val="16"/>
                <w:szCs w:val="16"/>
              </w:rPr>
              <w:t xml:space="preserve">Product / Platform</w:t>
            </w:r>
          </w:p>
        </w:tc>
        <w:tc>
          <w:tcPr>
            <w:tcW w:type="dxa" w:w="7160"/>
            <w:tcBorders>
              <w:top w:val="none" w:color="FFFFFF" w:sz="0"/>
              <w:left w:val="none" w:color="FFFFFF" w:sz="0"/>
              <w:bottom w:val="single" w:color="E4EBF3" w:sz="4"/>
              <w:right w:val="none" w:color="FFFFFF" w:sz="0"/>
            </w:tcBorders>
            <w:tcMar>
              <w:top w:type="dxa" w:w="60"/>
              <w:left w:type="dxa" w:w="160"/>
              <w:bottom w:type="dxa" w:w="60"/>
              <w:right w:type="dxa" w:w="160"/>
            </w:tcMar>
          </w:tcPr>
          <w:p>
            <w:pPr>
              <w:spacing w:after="0" w:before="0" w:line="276"/>
            </w:pPr>
            <w:r>
              <w:rPr>
                <w:rFonts w:ascii="Calibri" w:cs="Calibri" w:eastAsia="Calibri" w:hAnsi="Calibri"/>
                <w:b/>
                <w:bCs/>
                <w:color w:val="036C8F"/>
                <w:sz w:val="20"/>
                <w:szCs w:val="20"/>
              </w:rPr>
              <w:t xml:space="preserve">Multicloud Defense</w:t>
            </w:r>
            <w:r>
              <w:rPr>
                <w:rFonts w:ascii="Calibri" w:cs="Calibri" w:eastAsia="Calibri" w:hAnsi="Calibri"/>
                <w:color w:val="7E8CA1"/>
                <w:sz w:val="18"/>
                <w:szCs w:val="18"/>
              </w:rPr>
              <w:t xml:space="preserve">  · Multicloud Defense Visibility</w:t>
            </w:r>
          </w:p>
        </w:tc>
      </w:tr>
      <w:tr>
        <w:tc>
          <w:tcPr>
            <w:tcW w:type="dxa" w:w="2200"/>
            <w:tcBorders>
              <w:top w:val="none" w:color="FFFFFF" w:sz="0"/>
              <w:left w:val="none" w:color="FFFFFF" w:sz="0"/>
              <w:bottom w:val="single" w:color="E4EBF3" w:sz="4"/>
              <w:right w:val="none" w:color="FFFFFF" w:sz="0"/>
            </w:tcBorders>
            <w:shd w:fill="F7F9FC" w:color="auto" w:val="clear"/>
            <w:tcMar>
              <w:top w:type="dxa" w:w="60"/>
              <w:left w:type="dxa" w:w="160"/>
              <w:bottom w:type="dxa" w:w="60"/>
              <w:right w:type="dxa" w:w="100"/>
            </w:tcMar>
          </w:tcPr>
          <w:p>
            <w:pPr>
              <w:spacing w:after="0" w:before="0" w:line="276"/>
            </w:pPr>
            <w:r>
              <w:rPr>
                <w:rFonts w:ascii="Calibri" w:cs="Calibri" w:eastAsia="Calibri" w:hAnsi="Calibri"/>
                <w:b/>
                <w:bCs/>
                <w:caps/>
                <w:color w:val="036C8F"/>
                <w:sz w:val="16"/>
                <w:szCs w:val="16"/>
              </w:rPr>
              <w:t xml:space="preserve">Model SE response</w:t>
            </w:r>
          </w:p>
        </w:tc>
        <w:tc>
          <w:tcPr>
            <w:tcW w:type="dxa" w:w="7160"/>
            <w:tcBorders>
              <w:top w:val="none" w:color="FFFFFF" w:sz="0"/>
              <w:left w:val="none" w:color="FFFFFF" w:sz="0"/>
              <w:bottom w:val="single" w:color="E4EBF3" w:sz="4"/>
              <w:right w:val="none" w:color="FFFFFF" w:sz="0"/>
            </w:tcBorders>
            <w:tcMar>
              <w:top w:type="dxa" w:w="60"/>
              <w:left w:type="dxa" w:w="160"/>
              <w:bottom w:type="dxa" w:w="60"/>
              <w:right w:type="dxa" w:w="160"/>
            </w:tcMar>
          </w:tcPr>
          <w:p>
            <w:pPr>
              <w:spacing w:after="0" w:before="0" w:line="276"/>
            </w:pPr>
            <w:r>
              <w:rPr>
                <w:rFonts w:ascii="Calibri" w:cs="Calibri" w:eastAsia="Calibri" w:hAnsi="Calibri"/>
                <w:color w:val="22344A"/>
                <w:sz w:val="20"/>
                <w:szCs w:val="20"/>
              </w:rPr>
              <w:t xml:space="preserve">Cisco Multicloud Defense provides unified logging and traceability. Because our security framework is integrated across the network fabric, you can generate consolidated reports that map directly to your compliance requirements (such as NIS2 or DORA) across all cloud environments from a single dashboard.</w:t>
            </w:r>
          </w:p>
        </w:tc>
      </w:tr>
      <w:tr>
        <w:tc>
          <w:tcPr>
            <w:tcW w:type="dxa" w:w="2200"/>
            <w:tcBorders>
              <w:top w:val="none" w:color="FFFFFF" w:sz="0"/>
              <w:left w:val="none" w:color="FFFFFF" w:sz="0"/>
              <w:bottom w:val="single" w:color="E4EBF3" w:sz="4"/>
              <w:right w:val="none" w:color="FFFFFF" w:sz="0"/>
            </w:tcBorders>
            <w:shd w:fill="F7F9FC" w:color="auto" w:val="clear"/>
            <w:tcMar>
              <w:top w:type="dxa" w:w="60"/>
              <w:left w:type="dxa" w:w="160"/>
              <w:bottom w:type="dxa" w:w="60"/>
              <w:right w:type="dxa" w:w="100"/>
            </w:tcMar>
          </w:tcPr>
          <w:p>
            <w:pPr>
              <w:spacing w:after="0" w:before="0" w:line="276"/>
            </w:pPr>
            <w:r>
              <w:rPr>
                <w:rFonts w:ascii="Calibri" w:cs="Calibri" w:eastAsia="Calibri" w:hAnsi="Calibri"/>
                <w:b/>
                <w:bCs/>
                <w:caps/>
                <w:color w:val="036C8F"/>
                <w:sz w:val="16"/>
                <w:szCs w:val="16"/>
              </w:rPr>
              <w:t xml:space="preserve">How it helps</w:t>
            </w:r>
          </w:p>
        </w:tc>
        <w:tc>
          <w:tcPr>
            <w:tcW w:type="dxa" w:w="7160"/>
            <w:tcBorders>
              <w:top w:val="none" w:color="FFFFFF" w:sz="0"/>
              <w:left w:val="none" w:color="FFFFFF" w:sz="0"/>
              <w:bottom w:val="single" w:color="E4EBF3" w:sz="4"/>
              <w:right w:val="none" w:color="FFFFFF" w:sz="0"/>
            </w:tcBorders>
            <w:tcMar>
              <w:top w:type="dxa" w:w="60"/>
              <w:left w:type="dxa" w:w="160"/>
              <w:bottom w:type="dxa" w:w="60"/>
              <w:right w:type="dxa" w:w="160"/>
            </w:tcMar>
          </w:tcPr>
          <w:p>
            <w:pPr>
              <w:spacing w:after="0" w:before="0" w:line="276"/>
            </w:pPr>
            <w:r>
              <w:rPr>
                <w:rFonts w:ascii="Calibri" w:cs="Calibri" w:eastAsia="Calibri" w:hAnsi="Calibri"/>
                <w:color w:val="22344A"/>
                <w:sz w:val="20"/>
                <w:szCs w:val="20"/>
              </w:rPr>
              <w:t xml:space="preserve">It automates the collection of evidence for security audits. By consolidating logs and policy enforcement data, you create a "single source of truth" that simplifies compliance reporting and demonstrates proactive governance to regulators.</w:t>
            </w:r>
          </w:p>
        </w:tc>
      </w:tr>
    </w:tbl>
    <w:p>
      <w:pPr>
        <w:spacing w:after="50"/>
      </w:pPr>
      <w:r>
        <w:rPr>
          <w:rFonts w:ascii="Calibri" w:cs="Calibri" w:eastAsia="Calibri" w:hAnsi="Calibri"/>
          <w:color w:val="14263A"/>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0" w:hRule="atLeast"/>
        </w:trPr>
        <w:tc>
          <w:tcPr>
            <w:tcW w:type="dxa" w:w="9360"/>
            <w:tcBorders>
              <w:top w:val="single" w:color="E1E8F1" w:sz="6"/>
              <w:left w:val="single" w:color="E1E8F1" w:sz="6"/>
              <w:bottom w:val="single" w:color="E1E8F1" w:sz="6"/>
              <w:right w:val="single" w:color="E1E8F1" w:sz="6"/>
            </w:tcBorders>
            <w:shd w:fill="F7F9FC" w:color="auto" w:val="clear"/>
            <w:tcMar>
              <w:top w:type="dxa" w:w="120"/>
              <w:left w:type="dxa" w:w="160"/>
              <w:bottom w:type="dxa" w:w="120"/>
              <w:right w:type="dxa" w:w="160"/>
            </w:tcMar>
            <w:vAlign w:val="top"/>
          </w:tcPr>
          <w:p>
            <w:pPr>
              <w:spacing w:after="0"/>
            </w:pPr>
            <w:r>
              <w:rPr>
                <w:rFonts w:ascii="Calibri" w:cs="Calibri" w:eastAsia="Calibri" w:hAnsi="Calibri"/>
                <w:b/>
                <w:bCs/>
                <w:color w:val="0D274D"/>
                <w:sz w:val="17"/>
                <w:szCs w:val="17"/>
              </w:rPr>
              <w:t xml:space="preserve">Level cues:  </w:t>
            </w:r>
            <w:r>
              <w:rPr>
                <w:rFonts w:ascii="Calibri" w:cs="Calibri" w:eastAsia="Calibri" w:hAnsi="Calibri"/>
                <w:b/>
                <w:bCs/>
                <w:color w:val="B4711A"/>
                <w:sz w:val="17"/>
                <w:szCs w:val="17"/>
              </w:rPr>
              <w:t xml:space="preserve">Associate (6–13) </w:t>
            </w:r>
            <w:r>
              <w:rPr>
                <w:rFonts w:ascii="Calibri" w:cs="Calibri" w:eastAsia="Calibri" w:hAnsi="Calibri"/>
                <w:color w:val="46566E"/>
                <w:sz w:val="17"/>
                <w:szCs w:val="17"/>
              </w:rPr>
              <w:t xml:space="preserve">names Multicloud Defense, generic.   </w:t>
            </w:r>
            <w:r>
              <w:rPr>
                <w:rFonts w:ascii="Calibri" w:cs="Calibri" w:eastAsia="Calibri" w:hAnsi="Calibri"/>
                <w:b/>
                <w:bCs/>
                <w:color w:val="036C8F"/>
                <w:sz w:val="17"/>
                <w:szCs w:val="17"/>
              </w:rPr>
              <w:t xml:space="preserve">Professional (14–20) </w:t>
            </w:r>
            <w:r>
              <w:rPr>
                <w:rFonts w:ascii="Calibri" w:cs="Calibri" w:eastAsia="Calibri" w:hAnsi="Calibri"/>
                <w:color w:val="46566E"/>
                <w:sz w:val="17"/>
                <w:szCs w:val="17"/>
              </w:rPr>
              <w:t xml:space="preserve">+ how it addresses the concern.   </w:t>
            </w:r>
            <w:r>
              <w:rPr>
                <w:rFonts w:ascii="Calibri" w:cs="Calibri" w:eastAsia="Calibri" w:hAnsi="Calibri"/>
                <w:b/>
                <w:bCs/>
                <w:color w:val="1F8A63"/>
                <w:sz w:val="17"/>
                <w:szCs w:val="17"/>
              </w:rPr>
              <w:t xml:space="preserve">Expert (21–25) </w:t>
            </w:r>
            <w:r>
              <w:rPr>
                <w:rFonts w:ascii="Calibri" w:cs="Calibri" w:eastAsia="Calibri" w:hAnsi="Calibri"/>
                <w:color w:val="46566E"/>
                <w:sz w:val="17"/>
                <w:szCs w:val="17"/>
              </w:rPr>
              <w:t xml:space="preserve">+ Cedarline-specific reasoning &amp; outcome, ties to HMF.</w:t>
            </w:r>
          </w:p>
        </w:tc>
      </w:tr>
    </w:tbl>
    <w:p>
      <w:pPr>
        <w:spacing w:after="160"/>
      </w:pPr>
      <w:r>
        <w:rPr>
          <w:rFonts w:ascii="Calibri" w:cs="Calibri" w:eastAsia="Calibri" w:hAnsi="Calibri"/>
          <w:color w:val="14263A"/>
          <w:sz w:val="2"/>
          <w:szCs w:val="2"/>
        </w:rPr>
        <w:t xml:space="preserve"/>
      </w:r>
    </w:p>
    <w:tbl>
      <w:tblPr>
        <w:tblW w:type="dxa" w:w="9360"/>
        <w:tblBorders>
          <w:top w:val="single" w:color="C4D2E2" w:sz="6"/>
          <w:left w:val="single" w:color="C4D2E2" w:sz="6"/>
          <w:bottom w:val="single" w:color="C4D2E2" w:sz="6"/>
          <w:right w:val="single" w:color="C4D2E2" w:sz="6"/>
          <w:insideH w:val="none" w:color="FFFFFF" w:sz="0"/>
          <w:insideV w:val="none" w:color="FFFFFF" w:sz="0"/>
        </w:tblBorders>
      </w:tblPr>
      <w:tblGrid>
        <w:gridCol w:w="2200"/>
        <w:gridCol w:w="7160"/>
      </w:tblGrid>
      <w:tr>
        <w:tc>
          <w:tcPr>
            <w:tcW w:type="dxa" w:w="9360"/>
            <w:gridSpan w:val="2"/>
            <w:tcBorders>
              <w:top w:val="none" w:color="FFFFFF" w:sz="0"/>
              <w:left w:val="none" w:color="FFFFFF" w:sz="0"/>
              <w:bottom w:val="none" w:color="FFFFFF" w:sz="0"/>
              <w:right w:val="none" w:color="FFFFFF" w:sz="0"/>
            </w:tcBorders>
            <w:shd w:fill="0D274D" w:color="auto" w:val="clear"/>
            <w:tcMar>
              <w:top w:type="dxa" w:w="60"/>
              <w:left w:type="dxa" w:w="160"/>
              <w:bottom w:type="dxa" w:w="60"/>
              <w:right w:type="dxa" w:w="160"/>
            </w:tcMar>
          </w:tcPr>
          <w:p>
            <w:pPr>
              <w:tabs>
                <w:tab w:val="right" w:pos="9100"/>
              </w:tabs>
              <w:spacing w:after="0"/>
            </w:pPr>
            <w:r>
              <w:rPr>
                <w:rFonts w:ascii="Calibri" w:cs="Calibri" w:eastAsia="Calibri" w:hAnsi="Calibri"/>
                <w:b/>
                <w:bCs/>
                <w:color w:val="FFFFFF"/>
                <w:sz w:val="21"/>
                <w:szCs w:val="21"/>
              </w:rPr>
              <w:t xml:space="preserve">Pain Point 3</w:t>
            </w:r>
            <w:r>
              <w:rPr>
                <w:rFonts w:ascii="Calibri" w:cs="Calibri" w:eastAsia="Calibri" w:hAnsi="Calibri"/>
                <w:b/>
                <w:bCs/>
                <w:color w:val="7FE2EF"/>
                <w:sz w:val="18"/>
                <w:szCs w:val="18"/>
              </w:rPr>
              <w:t xml:space="preserve">	25 pts</w:t>
            </w:r>
          </w:p>
        </w:tc>
      </w:tr>
      <w:tr>
        <w:tc>
          <w:tcPr>
            <w:tcW w:type="dxa" w:w="9360"/>
            <w:gridSpan w:val="2"/>
            <w:tcBorders>
              <w:top w:val="none" w:color="FFFFFF" w:sz="0"/>
              <w:left w:val="none" w:color="FFFFFF" w:sz="0"/>
              <w:bottom w:val="single" w:color="E4EBF3" w:sz="4"/>
              <w:right w:val="none" w:color="FFFFFF" w:sz="0"/>
            </w:tcBorders>
            <w:shd w:fill="FBFCFE" w:color="auto" w:val="clear"/>
            <w:tcMar>
              <w:top w:type="dxa" w:w="90"/>
              <w:left w:type="dxa" w:w="160"/>
              <w:bottom w:type="dxa" w:w="90"/>
              <w:right w:type="dxa" w:w="160"/>
            </w:tcMar>
          </w:tcPr>
          <w:p>
            <w:pPr>
              <w:spacing w:after="0" w:before="0" w:line="276"/>
            </w:pPr>
            <w:r>
              <w:rPr>
                <w:rFonts w:ascii="Calibri" w:cs="Calibri" w:eastAsia="Calibri" w:hAnsi="Calibri"/>
                <w:i/>
                <w:iCs/>
                <w:color w:val="22344A"/>
                <w:sz w:val="20"/>
                <w:szCs w:val="20"/>
              </w:rPr>
              <w:t xml:space="preserve">We have workloads spread across AWS, Azure, and on-premises data centers. Managing security policies individually in each cloud environment is creating massive operational overhead and leading to inconsistent security posture.</w:t>
            </w:r>
          </w:p>
        </w:tc>
      </w:tr>
      <w:tr>
        <w:tc>
          <w:tcPr>
            <w:tcW w:type="dxa" w:w="2200"/>
            <w:tcBorders>
              <w:top w:val="none" w:color="FFFFFF" w:sz="0"/>
              <w:left w:val="none" w:color="FFFFFF" w:sz="0"/>
              <w:bottom w:val="single" w:color="E4EBF3" w:sz="4"/>
              <w:right w:val="none" w:color="FFFFFF" w:sz="0"/>
            </w:tcBorders>
            <w:shd w:fill="F7F9FC" w:color="auto" w:val="clear"/>
            <w:tcMar>
              <w:top w:type="dxa" w:w="60"/>
              <w:left w:type="dxa" w:w="160"/>
              <w:bottom w:type="dxa" w:w="60"/>
              <w:right w:type="dxa" w:w="100"/>
            </w:tcMar>
          </w:tcPr>
          <w:p>
            <w:pPr>
              <w:spacing w:after="0" w:before="0" w:line="276"/>
            </w:pPr>
            <w:r>
              <w:rPr>
                <w:rFonts w:ascii="Calibri" w:cs="Calibri" w:eastAsia="Calibri" w:hAnsi="Calibri"/>
                <w:b/>
                <w:bCs/>
                <w:caps/>
                <w:color w:val="036C8F"/>
                <w:sz w:val="16"/>
                <w:szCs w:val="16"/>
              </w:rPr>
              <w:t xml:space="preserve">Product / Platform</w:t>
            </w:r>
          </w:p>
        </w:tc>
        <w:tc>
          <w:tcPr>
            <w:tcW w:type="dxa" w:w="7160"/>
            <w:tcBorders>
              <w:top w:val="none" w:color="FFFFFF" w:sz="0"/>
              <w:left w:val="none" w:color="FFFFFF" w:sz="0"/>
              <w:bottom w:val="single" w:color="E4EBF3" w:sz="4"/>
              <w:right w:val="none" w:color="FFFFFF" w:sz="0"/>
            </w:tcBorders>
            <w:tcMar>
              <w:top w:type="dxa" w:w="60"/>
              <w:left w:type="dxa" w:w="160"/>
              <w:bottom w:type="dxa" w:w="60"/>
              <w:right w:type="dxa" w:w="160"/>
            </w:tcMar>
          </w:tcPr>
          <w:p>
            <w:pPr>
              <w:spacing w:after="0" w:before="0" w:line="276"/>
            </w:pPr>
            <w:r>
              <w:rPr>
                <w:rFonts w:ascii="Calibri" w:cs="Calibri" w:eastAsia="Calibri" w:hAnsi="Calibri"/>
                <w:b/>
                <w:bCs/>
                <w:color w:val="036C8F"/>
                <w:sz w:val="20"/>
                <w:szCs w:val="20"/>
              </w:rPr>
              <w:t xml:space="preserve">Multicloud Defense</w:t>
            </w:r>
            <w:r>
              <w:rPr>
                <w:rFonts w:ascii="Calibri" w:cs="Calibri" w:eastAsia="Calibri" w:hAnsi="Calibri"/>
                <w:color w:val="7E8CA1"/>
                <w:sz w:val="18"/>
                <w:szCs w:val="18"/>
              </w:rPr>
              <w:t xml:space="preserve">  · Unified Security across public clouds</w:t>
            </w:r>
          </w:p>
        </w:tc>
      </w:tr>
      <w:tr>
        <w:tc>
          <w:tcPr>
            <w:tcW w:type="dxa" w:w="2200"/>
            <w:tcBorders>
              <w:top w:val="none" w:color="FFFFFF" w:sz="0"/>
              <w:left w:val="none" w:color="FFFFFF" w:sz="0"/>
              <w:bottom w:val="single" w:color="E4EBF3" w:sz="4"/>
              <w:right w:val="none" w:color="FFFFFF" w:sz="0"/>
            </w:tcBorders>
            <w:shd w:fill="F7F9FC" w:color="auto" w:val="clear"/>
            <w:tcMar>
              <w:top w:type="dxa" w:w="60"/>
              <w:left w:type="dxa" w:w="160"/>
              <w:bottom w:type="dxa" w:w="60"/>
              <w:right w:type="dxa" w:w="100"/>
            </w:tcMar>
          </w:tcPr>
          <w:p>
            <w:pPr>
              <w:spacing w:after="0" w:before="0" w:line="276"/>
            </w:pPr>
            <w:r>
              <w:rPr>
                <w:rFonts w:ascii="Calibri" w:cs="Calibri" w:eastAsia="Calibri" w:hAnsi="Calibri"/>
                <w:b/>
                <w:bCs/>
                <w:caps/>
                <w:color w:val="036C8F"/>
                <w:sz w:val="16"/>
                <w:szCs w:val="16"/>
              </w:rPr>
              <w:t xml:space="preserve">Model SE response</w:t>
            </w:r>
          </w:p>
        </w:tc>
        <w:tc>
          <w:tcPr>
            <w:tcW w:type="dxa" w:w="7160"/>
            <w:tcBorders>
              <w:top w:val="none" w:color="FFFFFF" w:sz="0"/>
              <w:left w:val="none" w:color="FFFFFF" w:sz="0"/>
              <w:bottom w:val="single" w:color="E4EBF3" w:sz="4"/>
              <w:right w:val="none" w:color="FFFFFF" w:sz="0"/>
            </w:tcBorders>
            <w:tcMar>
              <w:top w:type="dxa" w:w="60"/>
              <w:left w:type="dxa" w:w="160"/>
              <w:bottom w:type="dxa" w:w="60"/>
              <w:right w:type="dxa" w:w="160"/>
            </w:tcMar>
          </w:tcPr>
          <w:p>
            <w:pPr>
              <w:spacing w:after="0" w:before="0" w:line="276"/>
            </w:pPr>
            <w:r>
              <w:rPr>
                <w:rFonts w:ascii="Calibri" w:cs="Calibri" w:eastAsia="Calibri" w:hAnsi="Calibri"/>
                <w:color w:val="22344A"/>
                <w:sz w:val="20"/>
                <w:szCs w:val="20"/>
              </w:rPr>
              <w:t xml:space="preserve">Cisco Multicloud Defense, integrated within our Hybrid Mesh Firewall architecture, provides a unified control plane. You can define security policies once via Security Cloud Control and enforce them consistently across your entire distributed environment, regardless of the underlying cloud provider.</w:t>
            </w:r>
          </w:p>
        </w:tc>
      </w:tr>
      <w:tr>
        <w:tc>
          <w:tcPr>
            <w:tcW w:type="dxa" w:w="2200"/>
            <w:tcBorders>
              <w:top w:val="none" w:color="FFFFFF" w:sz="0"/>
              <w:left w:val="none" w:color="FFFFFF" w:sz="0"/>
              <w:bottom w:val="single" w:color="E4EBF3" w:sz="4"/>
              <w:right w:val="none" w:color="FFFFFF" w:sz="0"/>
            </w:tcBorders>
            <w:shd w:fill="F7F9FC" w:color="auto" w:val="clear"/>
            <w:tcMar>
              <w:top w:type="dxa" w:w="60"/>
              <w:left w:type="dxa" w:w="160"/>
              <w:bottom w:type="dxa" w:w="60"/>
              <w:right w:type="dxa" w:w="100"/>
            </w:tcMar>
          </w:tcPr>
          <w:p>
            <w:pPr>
              <w:spacing w:after="0" w:before="0" w:line="276"/>
            </w:pPr>
            <w:r>
              <w:rPr>
                <w:rFonts w:ascii="Calibri" w:cs="Calibri" w:eastAsia="Calibri" w:hAnsi="Calibri"/>
                <w:b/>
                <w:bCs/>
                <w:caps/>
                <w:color w:val="036C8F"/>
                <w:sz w:val="16"/>
                <w:szCs w:val="16"/>
              </w:rPr>
              <w:t xml:space="preserve">How it helps</w:t>
            </w:r>
          </w:p>
        </w:tc>
        <w:tc>
          <w:tcPr>
            <w:tcW w:type="dxa" w:w="7160"/>
            <w:tcBorders>
              <w:top w:val="none" w:color="FFFFFF" w:sz="0"/>
              <w:left w:val="none" w:color="FFFFFF" w:sz="0"/>
              <w:bottom w:val="single" w:color="E4EBF3" w:sz="4"/>
              <w:right w:val="none" w:color="FFFFFF" w:sz="0"/>
            </w:tcBorders>
            <w:tcMar>
              <w:top w:type="dxa" w:w="60"/>
              <w:left w:type="dxa" w:w="160"/>
              <w:bottom w:type="dxa" w:w="60"/>
              <w:right w:type="dxa" w:w="160"/>
            </w:tcMar>
          </w:tcPr>
          <w:p>
            <w:pPr>
              <w:spacing w:after="0" w:before="0" w:line="276"/>
            </w:pPr>
            <w:r>
              <w:rPr>
                <w:rFonts w:ascii="Calibri" w:cs="Calibri" w:eastAsia="Calibri" w:hAnsi="Calibri"/>
                <w:color w:val="22344A"/>
                <w:sz w:val="20"/>
                <w:szCs w:val="20"/>
              </w:rPr>
              <w:t xml:space="preserve">It replaces siloed, manual configuration with centralized orchestration. By abstracting the security policy from the cloud-native tools, it ensures that your security posture is uniform and eliminates the "configuration drift" that occurs when managing multiple cloud consoles.</w:t>
            </w:r>
          </w:p>
        </w:tc>
      </w:tr>
    </w:tbl>
    <w:p>
      <w:pPr>
        <w:spacing w:after="50"/>
      </w:pPr>
      <w:r>
        <w:rPr>
          <w:rFonts w:ascii="Calibri" w:cs="Calibri" w:eastAsia="Calibri" w:hAnsi="Calibri"/>
          <w:color w:val="14263A"/>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0" w:hRule="atLeast"/>
        </w:trPr>
        <w:tc>
          <w:tcPr>
            <w:tcW w:type="dxa" w:w="9360"/>
            <w:tcBorders>
              <w:top w:val="single" w:color="E1E8F1" w:sz="6"/>
              <w:left w:val="single" w:color="E1E8F1" w:sz="6"/>
              <w:bottom w:val="single" w:color="E1E8F1" w:sz="6"/>
              <w:right w:val="single" w:color="E1E8F1" w:sz="6"/>
            </w:tcBorders>
            <w:shd w:fill="F7F9FC" w:color="auto" w:val="clear"/>
            <w:tcMar>
              <w:top w:type="dxa" w:w="120"/>
              <w:left w:type="dxa" w:w="160"/>
              <w:bottom w:type="dxa" w:w="120"/>
              <w:right w:type="dxa" w:w="160"/>
            </w:tcMar>
            <w:vAlign w:val="top"/>
          </w:tcPr>
          <w:p>
            <w:pPr>
              <w:spacing w:after="0"/>
            </w:pPr>
            <w:r>
              <w:rPr>
                <w:rFonts w:ascii="Calibri" w:cs="Calibri" w:eastAsia="Calibri" w:hAnsi="Calibri"/>
                <w:b/>
                <w:bCs/>
                <w:color w:val="0D274D"/>
                <w:sz w:val="17"/>
                <w:szCs w:val="17"/>
              </w:rPr>
              <w:t xml:space="preserve">Level cues:  </w:t>
            </w:r>
            <w:r>
              <w:rPr>
                <w:rFonts w:ascii="Calibri" w:cs="Calibri" w:eastAsia="Calibri" w:hAnsi="Calibri"/>
                <w:b/>
                <w:bCs/>
                <w:color w:val="B4711A"/>
                <w:sz w:val="17"/>
                <w:szCs w:val="17"/>
              </w:rPr>
              <w:t xml:space="preserve">Associate (6–13) </w:t>
            </w:r>
            <w:r>
              <w:rPr>
                <w:rFonts w:ascii="Calibri" w:cs="Calibri" w:eastAsia="Calibri" w:hAnsi="Calibri"/>
                <w:color w:val="46566E"/>
                <w:sz w:val="17"/>
                <w:szCs w:val="17"/>
              </w:rPr>
              <w:t xml:space="preserve">names Multicloud Defense, generic.   </w:t>
            </w:r>
            <w:r>
              <w:rPr>
                <w:rFonts w:ascii="Calibri" w:cs="Calibri" w:eastAsia="Calibri" w:hAnsi="Calibri"/>
                <w:b/>
                <w:bCs/>
                <w:color w:val="036C8F"/>
                <w:sz w:val="17"/>
                <w:szCs w:val="17"/>
              </w:rPr>
              <w:t xml:space="preserve">Professional (14–20) </w:t>
            </w:r>
            <w:r>
              <w:rPr>
                <w:rFonts w:ascii="Calibri" w:cs="Calibri" w:eastAsia="Calibri" w:hAnsi="Calibri"/>
                <w:color w:val="46566E"/>
                <w:sz w:val="17"/>
                <w:szCs w:val="17"/>
              </w:rPr>
              <w:t xml:space="preserve">+ how it addresses the concern.   </w:t>
            </w:r>
            <w:r>
              <w:rPr>
                <w:rFonts w:ascii="Calibri" w:cs="Calibri" w:eastAsia="Calibri" w:hAnsi="Calibri"/>
                <w:b/>
                <w:bCs/>
                <w:color w:val="1F8A63"/>
                <w:sz w:val="17"/>
                <w:szCs w:val="17"/>
              </w:rPr>
              <w:t xml:space="preserve">Expert (21–25) </w:t>
            </w:r>
            <w:r>
              <w:rPr>
                <w:rFonts w:ascii="Calibri" w:cs="Calibri" w:eastAsia="Calibri" w:hAnsi="Calibri"/>
                <w:color w:val="46566E"/>
                <w:sz w:val="17"/>
                <w:szCs w:val="17"/>
              </w:rPr>
              <w:t xml:space="preserve">+ Cedarline-specific reasoning &amp; outcome, ties to HMF.</w:t>
            </w:r>
          </w:p>
        </w:tc>
      </w:tr>
    </w:tbl>
    <w:p>
      <w:pPr>
        <w:spacing w:after="160"/>
      </w:pPr>
      <w:r>
        <w:rPr>
          <w:rFonts w:ascii="Calibri" w:cs="Calibri" w:eastAsia="Calibri" w:hAnsi="Calibri"/>
          <w:color w:val="14263A"/>
          <w:sz w:val="2"/>
          <w:szCs w:val="2"/>
        </w:rPr>
        <w:t xml:space="preserve"/>
      </w:r>
    </w:p>
    <w:tbl>
      <w:tblPr>
        <w:tblW w:type="dxa" w:w="9360"/>
        <w:tblBorders>
          <w:top w:val="single" w:color="C4D2E2" w:sz="6"/>
          <w:left w:val="single" w:color="C4D2E2" w:sz="6"/>
          <w:bottom w:val="single" w:color="C4D2E2" w:sz="6"/>
          <w:right w:val="single" w:color="C4D2E2" w:sz="6"/>
          <w:insideH w:val="none" w:color="FFFFFF" w:sz="0"/>
          <w:insideV w:val="none" w:color="FFFFFF" w:sz="0"/>
        </w:tblBorders>
      </w:tblPr>
      <w:tblGrid>
        <w:gridCol w:w="2200"/>
        <w:gridCol w:w="7160"/>
      </w:tblGrid>
      <w:tr>
        <w:tc>
          <w:tcPr>
            <w:tcW w:type="dxa" w:w="9360"/>
            <w:gridSpan w:val="2"/>
            <w:tcBorders>
              <w:top w:val="none" w:color="FFFFFF" w:sz="0"/>
              <w:left w:val="none" w:color="FFFFFF" w:sz="0"/>
              <w:bottom w:val="none" w:color="FFFFFF" w:sz="0"/>
              <w:right w:val="none" w:color="FFFFFF" w:sz="0"/>
            </w:tcBorders>
            <w:shd w:fill="0D274D" w:color="auto" w:val="clear"/>
            <w:tcMar>
              <w:top w:type="dxa" w:w="60"/>
              <w:left w:type="dxa" w:w="160"/>
              <w:bottom w:type="dxa" w:w="60"/>
              <w:right w:type="dxa" w:w="160"/>
            </w:tcMar>
          </w:tcPr>
          <w:p>
            <w:pPr>
              <w:tabs>
                <w:tab w:val="right" w:pos="9100"/>
              </w:tabs>
              <w:spacing w:after="0"/>
            </w:pPr>
            <w:r>
              <w:rPr>
                <w:rFonts w:ascii="Calibri" w:cs="Calibri" w:eastAsia="Calibri" w:hAnsi="Calibri"/>
                <w:b/>
                <w:bCs/>
                <w:color w:val="FFFFFF"/>
                <w:sz w:val="21"/>
                <w:szCs w:val="21"/>
              </w:rPr>
              <w:t xml:space="preserve">Pain Point 4</w:t>
            </w:r>
            <w:r>
              <w:rPr>
                <w:rFonts w:ascii="Calibri" w:cs="Calibri" w:eastAsia="Calibri" w:hAnsi="Calibri"/>
                <w:b/>
                <w:bCs/>
                <w:color w:val="7FE2EF"/>
                <w:sz w:val="18"/>
                <w:szCs w:val="18"/>
              </w:rPr>
              <w:t xml:space="preserve">	25 pts</w:t>
            </w:r>
          </w:p>
        </w:tc>
      </w:tr>
      <w:tr>
        <w:tc>
          <w:tcPr>
            <w:tcW w:type="dxa" w:w="9360"/>
            <w:gridSpan w:val="2"/>
            <w:tcBorders>
              <w:top w:val="none" w:color="FFFFFF" w:sz="0"/>
              <w:left w:val="none" w:color="FFFFFF" w:sz="0"/>
              <w:bottom w:val="single" w:color="E4EBF3" w:sz="4"/>
              <w:right w:val="none" w:color="FFFFFF" w:sz="0"/>
            </w:tcBorders>
            <w:shd w:fill="FBFCFE" w:color="auto" w:val="clear"/>
            <w:tcMar>
              <w:top w:type="dxa" w:w="90"/>
              <w:left w:type="dxa" w:w="160"/>
              <w:bottom w:type="dxa" w:w="90"/>
              <w:right w:type="dxa" w:w="160"/>
            </w:tcMar>
          </w:tcPr>
          <w:p>
            <w:pPr>
              <w:spacing w:after="0" w:before="0" w:line="276"/>
            </w:pPr>
            <w:r>
              <w:rPr>
                <w:rFonts w:ascii="Calibri" w:cs="Calibri" w:eastAsia="Calibri" w:hAnsi="Calibri"/>
                <w:i/>
                <w:iCs/>
                <w:color w:val="22344A"/>
                <w:sz w:val="20"/>
                <w:szCs w:val="20"/>
              </w:rPr>
              <w:t xml:space="preserve">We have workloads on-prem, in cloud, and in mixed environments, and policy consistency is becoming difficult. Every environment feels different, and we're worried about drift.</w:t>
            </w:r>
          </w:p>
        </w:tc>
      </w:tr>
      <w:tr>
        <w:tc>
          <w:tcPr>
            <w:tcW w:type="dxa" w:w="2200"/>
            <w:tcBorders>
              <w:top w:val="none" w:color="FFFFFF" w:sz="0"/>
              <w:left w:val="none" w:color="FFFFFF" w:sz="0"/>
              <w:bottom w:val="single" w:color="E4EBF3" w:sz="4"/>
              <w:right w:val="none" w:color="FFFFFF" w:sz="0"/>
            </w:tcBorders>
            <w:shd w:fill="F7F9FC" w:color="auto" w:val="clear"/>
            <w:tcMar>
              <w:top w:type="dxa" w:w="60"/>
              <w:left w:type="dxa" w:w="160"/>
              <w:bottom w:type="dxa" w:w="60"/>
              <w:right w:type="dxa" w:w="100"/>
            </w:tcMar>
          </w:tcPr>
          <w:p>
            <w:pPr>
              <w:spacing w:after="0" w:before="0" w:line="276"/>
            </w:pPr>
            <w:r>
              <w:rPr>
                <w:rFonts w:ascii="Calibri" w:cs="Calibri" w:eastAsia="Calibri" w:hAnsi="Calibri"/>
                <w:b/>
                <w:bCs/>
                <w:caps/>
                <w:color w:val="036C8F"/>
                <w:sz w:val="16"/>
                <w:szCs w:val="16"/>
              </w:rPr>
              <w:t xml:space="preserve">Product / Platform</w:t>
            </w:r>
          </w:p>
        </w:tc>
        <w:tc>
          <w:tcPr>
            <w:tcW w:type="dxa" w:w="7160"/>
            <w:tcBorders>
              <w:top w:val="none" w:color="FFFFFF" w:sz="0"/>
              <w:left w:val="none" w:color="FFFFFF" w:sz="0"/>
              <w:bottom w:val="single" w:color="E4EBF3" w:sz="4"/>
              <w:right w:val="none" w:color="FFFFFF" w:sz="0"/>
            </w:tcBorders>
            <w:tcMar>
              <w:top w:type="dxa" w:w="60"/>
              <w:left w:type="dxa" w:w="160"/>
              <w:bottom w:type="dxa" w:w="60"/>
              <w:right w:type="dxa" w:w="160"/>
            </w:tcMar>
          </w:tcPr>
          <w:p>
            <w:pPr>
              <w:spacing w:after="0" w:before="0" w:line="276"/>
            </w:pPr>
            <w:r>
              <w:rPr>
                <w:rFonts w:ascii="Calibri" w:cs="Calibri" w:eastAsia="Calibri" w:hAnsi="Calibri"/>
                <w:b/>
                <w:bCs/>
                <w:color w:val="036C8F"/>
                <w:sz w:val="20"/>
                <w:szCs w:val="20"/>
              </w:rPr>
              <w:t xml:space="preserve">Cisco Secure Workload
Cisco Secure Firewall
Cisco Secure Firewall Management Center (FMC)
Cisco Security Cloud Control</w:t>
            </w:r>
            <w:r>
              <w:rPr>
                <w:rFonts w:ascii="Calibri" w:cs="Calibri" w:eastAsia="Calibri" w:hAnsi="Calibri"/>
                <w:color w:val="7E8CA1"/>
                <w:sz w:val="18"/>
                <w:szCs w:val="18"/>
              </w:rPr>
              <w:t xml:space="preserve">  · Secure Workload Integration with Secure Firewall Management Center</w:t>
            </w:r>
          </w:p>
        </w:tc>
      </w:tr>
      <w:tr>
        <w:tc>
          <w:tcPr>
            <w:tcW w:type="dxa" w:w="2200"/>
            <w:tcBorders>
              <w:top w:val="none" w:color="FFFFFF" w:sz="0"/>
              <w:left w:val="none" w:color="FFFFFF" w:sz="0"/>
              <w:bottom w:val="single" w:color="E4EBF3" w:sz="4"/>
              <w:right w:val="none" w:color="FFFFFF" w:sz="0"/>
            </w:tcBorders>
            <w:shd w:fill="F7F9FC" w:color="auto" w:val="clear"/>
            <w:tcMar>
              <w:top w:type="dxa" w:w="60"/>
              <w:left w:type="dxa" w:w="160"/>
              <w:bottom w:type="dxa" w:w="60"/>
              <w:right w:type="dxa" w:w="100"/>
            </w:tcMar>
          </w:tcPr>
          <w:p>
            <w:pPr>
              <w:spacing w:after="0" w:before="0" w:line="276"/>
            </w:pPr>
            <w:r>
              <w:rPr>
                <w:rFonts w:ascii="Calibri" w:cs="Calibri" w:eastAsia="Calibri" w:hAnsi="Calibri"/>
                <w:b/>
                <w:bCs/>
                <w:caps/>
                <w:color w:val="036C8F"/>
                <w:sz w:val="16"/>
                <w:szCs w:val="16"/>
              </w:rPr>
              <w:t xml:space="preserve">Model SE response</w:t>
            </w:r>
          </w:p>
        </w:tc>
        <w:tc>
          <w:tcPr>
            <w:tcW w:type="dxa" w:w="7160"/>
            <w:tcBorders>
              <w:top w:val="none" w:color="FFFFFF" w:sz="0"/>
              <w:left w:val="none" w:color="FFFFFF" w:sz="0"/>
              <w:bottom w:val="single" w:color="E4EBF3" w:sz="4"/>
              <w:right w:val="none" w:color="FFFFFF" w:sz="0"/>
            </w:tcBorders>
            <w:tcMar>
              <w:top w:type="dxa" w:w="60"/>
              <w:left w:type="dxa" w:w="160"/>
              <w:bottom w:type="dxa" w:w="60"/>
              <w:right w:type="dxa" w:w="160"/>
            </w:tcMar>
          </w:tcPr>
          <w:p>
            <w:pPr>
              <w:spacing w:after="0" w:before="0" w:line="276"/>
            </w:pPr>
            <w:r>
              <w:rPr>
                <w:rFonts w:ascii="Calibri" w:cs="Calibri" w:eastAsia="Calibri" w:hAnsi="Calibri"/>
                <w:color w:val="22344A"/>
                <w:sz w:val="20"/>
                <w:szCs w:val="20"/>
              </w:rPr>
              <w:t xml:space="preserve">That's a common hybrid environment challenge. Cisco Secure Workload helps create a more unified segmentation model by using application dependency awareness and AI/ML-driven policy discovery to define policy based on how workloads actually communicate. Cisco Secure Firewall then enforces broader segmentation boundaries at the network layer.</w:t>
            </w:r>
          </w:p>
        </w:tc>
      </w:tr>
      <w:tr>
        <w:tc>
          <w:tcPr>
            <w:tcW w:type="dxa" w:w="2200"/>
            <w:tcBorders>
              <w:top w:val="none" w:color="FFFFFF" w:sz="0"/>
              <w:left w:val="none" w:color="FFFFFF" w:sz="0"/>
              <w:bottom w:val="single" w:color="E4EBF3" w:sz="4"/>
              <w:right w:val="none" w:color="FFFFFF" w:sz="0"/>
            </w:tcBorders>
            <w:shd w:fill="F7F9FC" w:color="auto" w:val="clear"/>
            <w:tcMar>
              <w:top w:type="dxa" w:w="60"/>
              <w:left w:type="dxa" w:w="160"/>
              <w:bottom w:type="dxa" w:w="60"/>
              <w:right w:type="dxa" w:w="100"/>
            </w:tcMar>
          </w:tcPr>
          <w:p>
            <w:pPr>
              <w:spacing w:after="0" w:before="0" w:line="276"/>
            </w:pPr>
            <w:r>
              <w:rPr>
                <w:rFonts w:ascii="Calibri" w:cs="Calibri" w:eastAsia="Calibri" w:hAnsi="Calibri"/>
                <w:b/>
                <w:bCs/>
                <w:caps/>
                <w:color w:val="036C8F"/>
                <w:sz w:val="16"/>
                <w:szCs w:val="16"/>
              </w:rPr>
              <w:t xml:space="preserve">How it helps</w:t>
            </w:r>
          </w:p>
        </w:tc>
        <w:tc>
          <w:tcPr>
            <w:tcW w:type="dxa" w:w="7160"/>
            <w:tcBorders>
              <w:top w:val="none" w:color="FFFFFF" w:sz="0"/>
              <w:left w:val="none" w:color="FFFFFF" w:sz="0"/>
              <w:bottom w:val="single" w:color="E4EBF3" w:sz="4"/>
              <w:right w:val="none" w:color="FFFFFF" w:sz="0"/>
            </w:tcBorders>
            <w:tcMar>
              <w:top w:type="dxa" w:w="60"/>
              <w:left w:type="dxa" w:w="160"/>
              <w:bottom w:type="dxa" w:w="60"/>
              <w:right w:type="dxa" w:w="160"/>
            </w:tcMar>
          </w:tcPr>
          <w:p>
            <w:pPr>
              <w:spacing w:after="0" w:before="0" w:line="276"/>
            </w:pPr>
            <w:r>
              <w:rPr>
                <w:rFonts w:ascii="Calibri" w:cs="Calibri" w:eastAsia="Calibri" w:hAnsi="Calibri"/>
                <w:color w:val="22344A"/>
                <w:sz w:val="20"/>
                <w:szCs w:val="20"/>
              </w:rPr>
              <w:t xml:space="preserve">Reduces policy drift across hybrid and multicloud environments
Aligns policy to application behavior, not just static IP-based rules
Supports consistent macro and micro controls together</w:t>
            </w:r>
          </w:p>
        </w:tc>
      </w:tr>
    </w:tbl>
    <w:p>
      <w:pPr>
        <w:spacing w:after="50"/>
      </w:pPr>
      <w:r>
        <w:rPr>
          <w:rFonts w:ascii="Calibri" w:cs="Calibri" w:eastAsia="Calibri" w:hAnsi="Calibri"/>
          <w:color w:val="14263A"/>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0" w:hRule="atLeast"/>
        </w:trPr>
        <w:tc>
          <w:tcPr>
            <w:tcW w:type="dxa" w:w="9360"/>
            <w:tcBorders>
              <w:top w:val="single" w:color="E1E8F1" w:sz="6"/>
              <w:left w:val="single" w:color="E1E8F1" w:sz="6"/>
              <w:bottom w:val="single" w:color="E1E8F1" w:sz="6"/>
              <w:right w:val="single" w:color="E1E8F1" w:sz="6"/>
            </w:tcBorders>
            <w:shd w:fill="F7F9FC" w:color="auto" w:val="clear"/>
            <w:tcMar>
              <w:top w:type="dxa" w:w="120"/>
              <w:left w:type="dxa" w:w="160"/>
              <w:bottom w:type="dxa" w:w="120"/>
              <w:right w:type="dxa" w:w="160"/>
            </w:tcMar>
            <w:vAlign w:val="top"/>
          </w:tcPr>
          <w:p>
            <w:pPr>
              <w:spacing w:after="0"/>
            </w:pPr>
            <w:r>
              <w:rPr>
                <w:rFonts w:ascii="Calibri" w:cs="Calibri" w:eastAsia="Calibri" w:hAnsi="Calibri"/>
                <w:b/>
                <w:bCs/>
                <w:color w:val="0D274D"/>
                <w:sz w:val="17"/>
                <w:szCs w:val="17"/>
              </w:rPr>
              <w:t xml:space="preserve">Level cues:  </w:t>
            </w:r>
            <w:r>
              <w:rPr>
                <w:rFonts w:ascii="Calibri" w:cs="Calibri" w:eastAsia="Calibri" w:hAnsi="Calibri"/>
                <w:b/>
                <w:bCs/>
                <w:color w:val="B4711A"/>
                <w:sz w:val="17"/>
                <w:szCs w:val="17"/>
              </w:rPr>
              <w:t xml:space="preserve">Associate (6–13) </w:t>
            </w:r>
            <w:r>
              <w:rPr>
                <w:rFonts w:ascii="Calibri" w:cs="Calibri" w:eastAsia="Calibri" w:hAnsi="Calibri"/>
                <w:color w:val="46566E"/>
                <w:sz w:val="17"/>
                <w:szCs w:val="17"/>
              </w:rPr>
              <w:t xml:space="preserve">names Cisco Secure Workload Cisco Secure Firew…, generic.   </w:t>
            </w:r>
            <w:r>
              <w:rPr>
                <w:rFonts w:ascii="Calibri" w:cs="Calibri" w:eastAsia="Calibri" w:hAnsi="Calibri"/>
                <w:b/>
                <w:bCs/>
                <w:color w:val="036C8F"/>
                <w:sz w:val="17"/>
                <w:szCs w:val="17"/>
              </w:rPr>
              <w:t xml:space="preserve">Professional (14–20) </w:t>
            </w:r>
            <w:r>
              <w:rPr>
                <w:rFonts w:ascii="Calibri" w:cs="Calibri" w:eastAsia="Calibri" w:hAnsi="Calibri"/>
                <w:color w:val="46566E"/>
                <w:sz w:val="17"/>
                <w:szCs w:val="17"/>
              </w:rPr>
              <w:t xml:space="preserve">+ how it addresses the concern.   </w:t>
            </w:r>
            <w:r>
              <w:rPr>
                <w:rFonts w:ascii="Calibri" w:cs="Calibri" w:eastAsia="Calibri" w:hAnsi="Calibri"/>
                <w:b/>
                <w:bCs/>
                <w:color w:val="1F8A63"/>
                <w:sz w:val="17"/>
                <w:szCs w:val="17"/>
              </w:rPr>
              <w:t xml:space="preserve">Expert (21–25) </w:t>
            </w:r>
            <w:r>
              <w:rPr>
                <w:rFonts w:ascii="Calibri" w:cs="Calibri" w:eastAsia="Calibri" w:hAnsi="Calibri"/>
                <w:color w:val="46566E"/>
                <w:sz w:val="17"/>
                <w:szCs w:val="17"/>
              </w:rPr>
              <w:t xml:space="preserve">+ Cedarline-specific reasoning &amp; outcome, ties to HMF.</w:t>
            </w:r>
          </w:p>
        </w:tc>
      </w:tr>
    </w:tbl>
    <w:p>
      <w:pPr>
        <w:spacing w:after="160"/>
      </w:pPr>
      <w:r>
        <w:rPr>
          <w:rFonts w:ascii="Calibri" w:cs="Calibri" w:eastAsia="Calibri" w:hAnsi="Calibri"/>
          <w:color w:val="14263A"/>
          <w:sz w:val="2"/>
          <w:szCs w:val="2"/>
        </w:rPr>
        <w:t xml:space="preserve"/>
      </w:r>
    </w:p>
    <w:p>
      <w:pPr>
        <w:pageBreakBefore/>
        <w:spacing w:after="0" w:before="0" w:line="276"/>
      </w:pPr>
    </w:p>
    <w:p>
      <w:pPr>
        <w:spacing w:after="40" w:before="0" w:line="276"/>
      </w:pPr>
      <w:r>
        <w:rPr>
          <w:rFonts w:ascii="Calibri" w:cs="Calibri" w:eastAsia="Calibri" w:hAnsi="Calibri"/>
          <w:b/>
          <w:bCs/>
          <w:caps/>
          <w:color w:val="036C8F"/>
          <w:sz w:val="16"/>
          <w:szCs w:val="16"/>
        </w:rPr>
        <w:t xml:space="preserve">Case Study 3 · reference answers</w:t>
      </w:r>
    </w:p>
    <w:p>
      <w:pPr>
        <w:spacing w:after="80" w:before="0" w:line="276"/>
      </w:pPr>
      <w:r>
        <w:rPr>
          <w:rFonts w:ascii="Calibri" w:cs="Calibri" w:eastAsia="Calibri" w:hAnsi="Calibri"/>
          <w:b/>
          <w:bCs/>
          <w:color w:val="0D274D"/>
          <w:sz w:val="30"/>
          <w:szCs w:val="30"/>
        </w:rPr>
        <w:t xml:space="preserve">DC Edge — Perimeter Firewall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0" w:hRule="atLeast"/>
        </w:trPr>
        <w:tc>
          <w:tcPr>
            <w:tcW w:type="dxa" w:w="9360"/>
            <w:tcBorders>
              <w:top w:val="single" w:color="DCE6F1" w:sz="6"/>
              <w:left w:val="single" w:color="DCE6F1" w:sz="6"/>
              <w:bottom w:val="single" w:color="DCE6F1" w:sz="6"/>
              <w:right w:val="single" w:color="DCE6F1" w:sz="6"/>
            </w:tcBorders>
            <w:shd w:fill="F3F7FB" w:color="auto" w:val="clear"/>
            <w:tcMar>
              <w:top w:type="dxa" w:w="120"/>
              <w:left w:type="dxa" w:w="160"/>
              <w:bottom w:type="dxa" w:w="120"/>
              <w:right w:type="dxa" w:w="160"/>
            </w:tcMar>
            <w:vAlign w:val="top"/>
          </w:tcPr>
          <w:p>
            <w:pPr>
              <w:spacing w:after="0" w:before="0" w:line="276"/>
            </w:pPr>
            <w:r>
              <w:rPr>
                <w:rFonts w:ascii="Calibri" w:cs="Calibri" w:eastAsia="Calibri" w:hAnsi="Calibri"/>
                <w:b/>
                <w:bCs/>
                <w:color w:val="0D274D"/>
                <w:sz w:val="21"/>
                <w:szCs w:val="21"/>
              </w:rPr>
              <w:t xml:space="preserve">Focus.  </w:t>
            </w:r>
            <w:r>
              <w:rPr>
                <w:rFonts w:ascii="Calibri" w:cs="Calibri" w:eastAsia="Calibri" w:hAnsi="Calibri"/>
                <w:color w:val="33465F"/>
                <w:sz w:val="21"/>
                <w:szCs w:val="21"/>
              </w:rPr>
              <w:t xml:space="preserve">A mixed-vendor perimeter, an inherited rulebase and mostly-encrypted traffic leave blind spots and slow response. Restore visibility, speed the response, and modernise detection with the team they have.</w:t>
            </w:r>
          </w:p>
        </w:tc>
      </w:tr>
    </w:tbl>
    <w:p>
      <w:pPr>
        <w:spacing w:after="140"/>
      </w:pPr>
      <w:r>
        <w:rPr>
          <w:rFonts w:ascii="Calibri" w:cs="Calibri" w:eastAsia="Calibri" w:hAnsi="Calibri"/>
          <w:color w:val="14263A"/>
          <w:sz w:val="2"/>
          <w:szCs w:val="2"/>
        </w:rPr>
        <w:t xml:space="preserve"/>
      </w:r>
    </w:p>
    <w:tbl>
      <w:tblPr>
        <w:tblW w:type="dxa" w:w="9360"/>
        <w:tblBorders>
          <w:top w:val="single" w:color="C4D2E2" w:sz="6"/>
          <w:left w:val="single" w:color="C4D2E2" w:sz="6"/>
          <w:bottom w:val="single" w:color="C4D2E2" w:sz="6"/>
          <w:right w:val="single" w:color="C4D2E2" w:sz="6"/>
          <w:insideH w:val="none" w:color="FFFFFF" w:sz="0"/>
          <w:insideV w:val="none" w:color="FFFFFF" w:sz="0"/>
        </w:tblBorders>
      </w:tblPr>
      <w:tblGrid>
        <w:gridCol w:w="2200"/>
        <w:gridCol w:w="7160"/>
      </w:tblGrid>
      <w:tr>
        <w:tc>
          <w:tcPr>
            <w:tcW w:type="dxa" w:w="9360"/>
            <w:gridSpan w:val="2"/>
            <w:tcBorders>
              <w:top w:val="none" w:color="FFFFFF" w:sz="0"/>
              <w:left w:val="none" w:color="FFFFFF" w:sz="0"/>
              <w:bottom w:val="none" w:color="FFFFFF" w:sz="0"/>
              <w:right w:val="none" w:color="FFFFFF" w:sz="0"/>
            </w:tcBorders>
            <w:shd w:fill="0D274D" w:color="auto" w:val="clear"/>
            <w:tcMar>
              <w:top w:type="dxa" w:w="60"/>
              <w:left w:type="dxa" w:w="160"/>
              <w:bottom w:type="dxa" w:w="60"/>
              <w:right w:type="dxa" w:w="160"/>
            </w:tcMar>
          </w:tcPr>
          <w:p>
            <w:pPr>
              <w:tabs>
                <w:tab w:val="right" w:pos="9100"/>
              </w:tabs>
              <w:spacing w:after="0"/>
            </w:pPr>
            <w:r>
              <w:rPr>
                <w:rFonts w:ascii="Calibri" w:cs="Calibri" w:eastAsia="Calibri" w:hAnsi="Calibri"/>
                <w:b/>
                <w:bCs/>
                <w:color w:val="FFFFFF"/>
                <w:sz w:val="21"/>
                <w:szCs w:val="21"/>
              </w:rPr>
              <w:t xml:space="preserve">Pain Point 1</w:t>
            </w:r>
            <w:r>
              <w:rPr>
                <w:rFonts w:ascii="Calibri" w:cs="Calibri" w:eastAsia="Calibri" w:hAnsi="Calibri"/>
                <w:b/>
                <w:bCs/>
                <w:color w:val="7FE2EF"/>
                <w:sz w:val="18"/>
                <w:szCs w:val="18"/>
              </w:rPr>
              <w:t xml:space="preserve">	25 pts</w:t>
            </w:r>
          </w:p>
        </w:tc>
      </w:tr>
      <w:tr>
        <w:tc>
          <w:tcPr>
            <w:tcW w:type="dxa" w:w="9360"/>
            <w:gridSpan w:val="2"/>
            <w:tcBorders>
              <w:top w:val="none" w:color="FFFFFF" w:sz="0"/>
              <w:left w:val="none" w:color="FFFFFF" w:sz="0"/>
              <w:bottom w:val="single" w:color="E4EBF3" w:sz="4"/>
              <w:right w:val="none" w:color="FFFFFF" w:sz="0"/>
            </w:tcBorders>
            <w:shd w:fill="FBFCFE" w:color="auto" w:val="clear"/>
            <w:tcMar>
              <w:top w:type="dxa" w:w="90"/>
              <w:left w:type="dxa" w:w="160"/>
              <w:bottom w:type="dxa" w:w="90"/>
              <w:right w:type="dxa" w:w="160"/>
            </w:tcMar>
          </w:tcPr>
          <w:p>
            <w:pPr>
              <w:spacing w:after="0" w:before="0" w:line="276"/>
            </w:pPr>
            <w:r>
              <w:rPr>
                <w:rFonts w:ascii="Calibri" w:cs="Calibri" w:eastAsia="Calibri" w:hAnsi="Calibri"/>
                <w:i/>
                <w:iCs/>
                <w:color w:val="22344A"/>
                <w:sz w:val="20"/>
                <w:szCs w:val="20"/>
              </w:rPr>
              <w:t xml:space="preserve">When our security tools detect a compromised device, our manual response time is too slow. By the time we identify the user and manually isolate the port, the attacker has already moved through the network.</w:t>
            </w:r>
          </w:p>
        </w:tc>
      </w:tr>
      <w:tr>
        <w:tc>
          <w:tcPr>
            <w:tcW w:type="dxa" w:w="2200"/>
            <w:tcBorders>
              <w:top w:val="none" w:color="FFFFFF" w:sz="0"/>
              <w:left w:val="none" w:color="FFFFFF" w:sz="0"/>
              <w:bottom w:val="single" w:color="E4EBF3" w:sz="4"/>
              <w:right w:val="none" w:color="FFFFFF" w:sz="0"/>
            </w:tcBorders>
            <w:shd w:fill="F7F9FC" w:color="auto" w:val="clear"/>
            <w:tcMar>
              <w:top w:type="dxa" w:w="60"/>
              <w:left w:type="dxa" w:w="160"/>
              <w:bottom w:type="dxa" w:w="60"/>
              <w:right w:type="dxa" w:w="100"/>
            </w:tcMar>
          </w:tcPr>
          <w:p>
            <w:pPr>
              <w:spacing w:after="0" w:before="0" w:line="276"/>
            </w:pPr>
            <w:r>
              <w:rPr>
                <w:rFonts w:ascii="Calibri" w:cs="Calibri" w:eastAsia="Calibri" w:hAnsi="Calibri"/>
                <w:b/>
                <w:bCs/>
                <w:caps/>
                <w:color w:val="036C8F"/>
                <w:sz w:val="16"/>
                <w:szCs w:val="16"/>
              </w:rPr>
              <w:t xml:space="preserve">Product / Platform</w:t>
            </w:r>
          </w:p>
        </w:tc>
        <w:tc>
          <w:tcPr>
            <w:tcW w:type="dxa" w:w="7160"/>
            <w:tcBorders>
              <w:top w:val="none" w:color="FFFFFF" w:sz="0"/>
              <w:left w:val="none" w:color="FFFFFF" w:sz="0"/>
              <w:bottom w:val="single" w:color="E4EBF3" w:sz="4"/>
              <w:right w:val="none" w:color="FFFFFF" w:sz="0"/>
            </w:tcBorders>
            <w:tcMar>
              <w:top w:type="dxa" w:w="60"/>
              <w:left w:type="dxa" w:w="160"/>
              <w:bottom w:type="dxa" w:w="60"/>
              <w:right w:type="dxa" w:w="160"/>
            </w:tcMar>
          </w:tcPr>
          <w:p>
            <w:pPr>
              <w:spacing w:after="0" w:before="0" w:line="276"/>
            </w:pPr>
            <w:r>
              <w:rPr>
                <w:rFonts w:ascii="Calibri" w:cs="Calibri" w:eastAsia="Calibri" w:hAnsi="Calibri"/>
                <w:b/>
                <w:bCs/>
                <w:color w:val="036C8F"/>
                <w:sz w:val="20"/>
                <w:szCs w:val="20"/>
              </w:rPr>
              <w:t xml:space="preserve">ISE</w:t>
            </w:r>
            <w:r>
              <w:rPr>
                <w:rFonts w:ascii="Calibri" w:cs="Calibri" w:eastAsia="Calibri" w:hAnsi="Calibri"/>
                <w:color w:val="7E8CA1"/>
                <w:sz w:val="18"/>
                <w:szCs w:val="18"/>
              </w:rPr>
              <w:t xml:space="preserve">  · Security Group Tags (pxGrid integration)</w:t>
            </w:r>
          </w:p>
        </w:tc>
      </w:tr>
      <w:tr>
        <w:tc>
          <w:tcPr>
            <w:tcW w:type="dxa" w:w="2200"/>
            <w:tcBorders>
              <w:top w:val="none" w:color="FFFFFF" w:sz="0"/>
              <w:left w:val="none" w:color="FFFFFF" w:sz="0"/>
              <w:bottom w:val="single" w:color="E4EBF3" w:sz="4"/>
              <w:right w:val="none" w:color="FFFFFF" w:sz="0"/>
            </w:tcBorders>
            <w:shd w:fill="F7F9FC" w:color="auto" w:val="clear"/>
            <w:tcMar>
              <w:top w:type="dxa" w:w="60"/>
              <w:left w:type="dxa" w:w="160"/>
              <w:bottom w:type="dxa" w:w="60"/>
              <w:right w:type="dxa" w:w="100"/>
            </w:tcMar>
          </w:tcPr>
          <w:p>
            <w:pPr>
              <w:spacing w:after="0" w:before="0" w:line="276"/>
            </w:pPr>
            <w:r>
              <w:rPr>
                <w:rFonts w:ascii="Calibri" w:cs="Calibri" w:eastAsia="Calibri" w:hAnsi="Calibri"/>
                <w:b/>
                <w:bCs/>
                <w:caps/>
                <w:color w:val="036C8F"/>
                <w:sz w:val="16"/>
                <w:szCs w:val="16"/>
              </w:rPr>
              <w:t xml:space="preserve">Model SE response</w:t>
            </w:r>
          </w:p>
        </w:tc>
        <w:tc>
          <w:tcPr>
            <w:tcW w:type="dxa" w:w="7160"/>
            <w:tcBorders>
              <w:top w:val="none" w:color="FFFFFF" w:sz="0"/>
              <w:left w:val="none" w:color="FFFFFF" w:sz="0"/>
              <w:bottom w:val="single" w:color="E4EBF3" w:sz="4"/>
              <w:right w:val="none" w:color="FFFFFF" w:sz="0"/>
            </w:tcBorders>
            <w:tcMar>
              <w:top w:type="dxa" w:w="60"/>
              <w:left w:type="dxa" w:w="160"/>
              <w:bottom w:type="dxa" w:w="60"/>
              <w:right w:type="dxa" w:w="160"/>
            </w:tcMar>
          </w:tcPr>
          <w:p>
            <w:pPr>
              <w:spacing w:after="0" w:before="0" w:line="276"/>
            </w:pPr>
            <w:r>
              <w:rPr>
                <w:rFonts w:ascii="Calibri" w:cs="Calibri" w:eastAsia="Calibri" w:hAnsi="Calibri"/>
                <w:color w:val="22344A"/>
                <w:sz w:val="20"/>
                <w:szCs w:val="20"/>
              </w:rPr>
              <w:t xml:space="preserve">Cisco ISE integrates with your security ecosystem via pxGrid and Adaptive Network Control (ANC). When a threat is detected, ISE can automatically trigger a quarantine policy, isolating the compromised device in real-time without requiring manual intervention.</w:t>
            </w:r>
          </w:p>
        </w:tc>
      </w:tr>
      <w:tr>
        <w:tc>
          <w:tcPr>
            <w:tcW w:type="dxa" w:w="2200"/>
            <w:tcBorders>
              <w:top w:val="none" w:color="FFFFFF" w:sz="0"/>
              <w:left w:val="none" w:color="FFFFFF" w:sz="0"/>
              <w:bottom w:val="single" w:color="E4EBF3" w:sz="4"/>
              <w:right w:val="none" w:color="FFFFFF" w:sz="0"/>
            </w:tcBorders>
            <w:shd w:fill="F7F9FC" w:color="auto" w:val="clear"/>
            <w:tcMar>
              <w:top w:type="dxa" w:w="60"/>
              <w:left w:type="dxa" w:w="160"/>
              <w:bottom w:type="dxa" w:w="60"/>
              <w:right w:type="dxa" w:w="100"/>
            </w:tcMar>
          </w:tcPr>
          <w:p>
            <w:pPr>
              <w:spacing w:after="0" w:before="0" w:line="276"/>
            </w:pPr>
            <w:r>
              <w:rPr>
                <w:rFonts w:ascii="Calibri" w:cs="Calibri" w:eastAsia="Calibri" w:hAnsi="Calibri"/>
                <w:b/>
                <w:bCs/>
                <w:caps/>
                <w:color w:val="036C8F"/>
                <w:sz w:val="16"/>
                <w:szCs w:val="16"/>
              </w:rPr>
              <w:t xml:space="preserve">How it helps</w:t>
            </w:r>
          </w:p>
        </w:tc>
        <w:tc>
          <w:tcPr>
            <w:tcW w:type="dxa" w:w="7160"/>
            <w:tcBorders>
              <w:top w:val="none" w:color="FFFFFF" w:sz="0"/>
              <w:left w:val="none" w:color="FFFFFF" w:sz="0"/>
              <w:bottom w:val="single" w:color="E4EBF3" w:sz="4"/>
              <w:right w:val="none" w:color="FFFFFF" w:sz="0"/>
            </w:tcBorders>
            <w:tcMar>
              <w:top w:type="dxa" w:w="60"/>
              <w:left w:type="dxa" w:w="160"/>
              <w:bottom w:type="dxa" w:w="60"/>
              <w:right w:type="dxa" w:w="160"/>
            </w:tcMar>
          </w:tcPr>
          <w:p>
            <w:pPr>
              <w:spacing w:after="0" w:before="0" w:line="276"/>
            </w:pPr>
            <w:r>
              <w:rPr>
                <w:rFonts w:ascii="Calibri" w:cs="Calibri" w:eastAsia="Calibri" w:hAnsi="Calibri"/>
                <w:color w:val="22344A"/>
                <w:sz w:val="20"/>
                <w:szCs w:val="20"/>
              </w:rPr>
              <w:t xml:space="preserve">It automates the "Response" phase of the incident lifecycle. By bridging the gap between detection and enforcement, it stops threats at the speed of the network.</w:t>
            </w:r>
          </w:p>
        </w:tc>
      </w:tr>
    </w:tbl>
    <w:p>
      <w:pPr>
        <w:spacing w:after="50"/>
      </w:pPr>
      <w:r>
        <w:rPr>
          <w:rFonts w:ascii="Calibri" w:cs="Calibri" w:eastAsia="Calibri" w:hAnsi="Calibri"/>
          <w:color w:val="14263A"/>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0" w:hRule="atLeast"/>
        </w:trPr>
        <w:tc>
          <w:tcPr>
            <w:tcW w:type="dxa" w:w="9360"/>
            <w:tcBorders>
              <w:top w:val="single" w:color="E1E8F1" w:sz="6"/>
              <w:left w:val="single" w:color="E1E8F1" w:sz="6"/>
              <w:bottom w:val="single" w:color="E1E8F1" w:sz="6"/>
              <w:right w:val="single" w:color="E1E8F1" w:sz="6"/>
            </w:tcBorders>
            <w:shd w:fill="F7F9FC" w:color="auto" w:val="clear"/>
            <w:tcMar>
              <w:top w:type="dxa" w:w="120"/>
              <w:left w:type="dxa" w:w="160"/>
              <w:bottom w:type="dxa" w:w="120"/>
              <w:right w:type="dxa" w:w="160"/>
            </w:tcMar>
            <w:vAlign w:val="top"/>
          </w:tcPr>
          <w:p>
            <w:pPr>
              <w:spacing w:after="0"/>
            </w:pPr>
            <w:r>
              <w:rPr>
                <w:rFonts w:ascii="Calibri" w:cs="Calibri" w:eastAsia="Calibri" w:hAnsi="Calibri"/>
                <w:b/>
                <w:bCs/>
                <w:color w:val="0D274D"/>
                <w:sz w:val="17"/>
                <w:szCs w:val="17"/>
              </w:rPr>
              <w:t xml:space="preserve">Level cues:  </w:t>
            </w:r>
            <w:r>
              <w:rPr>
                <w:rFonts w:ascii="Calibri" w:cs="Calibri" w:eastAsia="Calibri" w:hAnsi="Calibri"/>
                <w:b/>
                <w:bCs/>
                <w:color w:val="B4711A"/>
                <w:sz w:val="17"/>
                <w:szCs w:val="17"/>
              </w:rPr>
              <w:t xml:space="preserve">Associate (6–13) </w:t>
            </w:r>
            <w:r>
              <w:rPr>
                <w:rFonts w:ascii="Calibri" w:cs="Calibri" w:eastAsia="Calibri" w:hAnsi="Calibri"/>
                <w:color w:val="46566E"/>
                <w:sz w:val="17"/>
                <w:szCs w:val="17"/>
              </w:rPr>
              <w:t xml:space="preserve">names ISE, generic.   </w:t>
            </w:r>
            <w:r>
              <w:rPr>
                <w:rFonts w:ascii="Calibri" w:cs="Calibri" w:eastAsia="Calibri" w:hAnsi="Calibri"/>
                <w:b/>
                <w:bCs/>
                <w:color w:val="036C8F"/>
                <w:sz w:val="17"/>
                <w:szCs w:val="17"/>
              </w:rPr>
              <w:t xml:space="preserve">Professional (14–20) </w:t>
            </w:r>
            <w:r>
              <w:rPr>
                <w:rFonts w:ascii="Calibri" w:cs="Calibri" w:eastAsia="Calibri" w:hAnsi="Calibri"/>
                <w:color w:val="46566E"/>
                <w:sz w:val="17"/>
                <w:szCs w:val="17"/>
              </w:rPr>
              <w:t xml:space="preserve">+ how it addresses the concern.   </w:t>
            </w:r>
            <w:r>
              <w:rPr>
                <w:rFonts w:ascii="Calibri" w:cs="Calibri" w:eastAsia="Calibri" w:hAnsi="Calibri"/>
                <w:b/>
                <w:bCs/>
                <w:color w:val="1F8A63"/>
                <w:sz w:val="17"/>
                <w:szCs w:val="17"/>
              </w:rPr>
              <w:t xml:space="preserve">Expert (21–25) </w:t>
            </w:r>
            <w:r>
              <w:rPr>
                <w:rFonts w:ascii="Calibri" w:cs="Calibri" w:eastAsia="Calibri" w:hAnsi="Calibri"/>
                <w:color w:val="46566E"/>
                <w:sz w:val="17"/>
                <w:szCs w:val="17"/>
              </w:rPr>
              <w:t xml:space="preserve">+ Cedarline-specific reasoning &amp; outcome, ties to HMF.</w:t>
            </w:r>
          </w:p>
        </w:tc>
      </w:tr>
    </w:tbl>
    <w:p>
      <w:pPr>
        <w:spacing w:after="160"/>
      </w:pPr>
      <w:r>
        <w:rPr>
          <w:rFonts w:ascii="Calibri" w:cs="Calibri" w:eastAsia="Calibri" w:hAnsi="Calibri"/>
          <w:color w:val="14263A"/>
          <w:sz w:val="2"/>
          <w:szCs w:val="2"/>
        </w:rPr>
        <w:t xml:space="preserve"/>
      </w:r>
    </w:p>
    <w:tbl>
      <w:tblPr>
        <w:tblW w:type="dxa" w:w="9360"/>
        <w:tblBorders>
          <w:top w:val="single" w:color="C4D2E2" w:sz="6"/>
          <w:left w:val="single" w:color="C4D2E2" w:sz="6"/>
          <w:bottom w:val="single" w:color="C4D2E2" w:sz="6"/>
          <w:right w:val="single" w:color="C4D2E2" w:sz="6"/>
          <w:insideH w:val="none" w:color="FFFFFF" w:sz="0"/>
          <w:insideV w:val="none" w:color="FFFFFF" w:sz="0"/>
        </w:tblBorders>
      </w:tblPr>
      <w:tblGrid>
        <w:gridCol w:w="2200"/>
        <w:gridCol w:w="7160"/>
      </w:tblGrid>
      <w:tr>
        <w:tc>
          <w:tcPr>
            <w:tcW w:type="dxa" w:w="9360"/>
            <w:gridSpan w:val="2"/>
            <w:tcBorders>
              <w:top w:val="none" w:color="FFFFFF" w:sz="0"/>
              <w:left w:val="none" w:color="FFFFFF" w:sz="0"/>
              <w:bottom w:val="none" w:color="FFFFFF" w:sz="0"/>
              <w:right w:val="none" w:color="FFFFFF" w:sz="0"/>
            </w:tcBorders>
            <w:shd w:fill="0D274D" w:color="auto" w:val="clear"/>
            <w:tcMar>
              <w:top w:type="dxa" w:w="60"/>
              <w:left w:type="dxa" w:w="160"/>
              <w:bottom w:type="dxa" w:w="60"/>
              <w:right w:type="dxa" w:w="160"/>
            </w:tcMar>
          </w:tcPr>
          <w:p>
            <w:pPr>
              <w:tabs>
                <w:tab w:val="right" w:pos="9100"/>
              </w:tabs>
              <w:spacing w:after="0"/>
            </w:pPr>
            <w:r>
              <w:rPr>
                <w:rFonts w:ascii="Calibri" w:cs="Calibri" w:eastAsia="Calibri" w:hAnsi="Calibri"/>
                <w:b/>
                <w:bCs/>
                <w:color w:val="FFFFFF"/>
                <w:sz w:val="21"/>
                <w:szCs w:val="21"/>
              </w:rPr>
              <w:t xml:space="preserve">Pain Point 2</w:t>
            </w:r>
            <w:r>
              <w:rPr>
                <w:rFonts w:ascii="Calibri" w:cs="Calibri" w:eastAsia="Calibri" w:hAnsi="Calibri"/>
                <w:b/>
                <w:bCs/>
                <w:color w:val="7FE2EF"/>
                <w:sz w:val="18"/>
                <w:szCs w:val="18"/>
              </w:rPr>
              <w:t xml:space="preserve">	25 pts</w:t>
            </w:r>
          </w:p>
        </w:tc>
      </w:tr>
      <w:tr>
        <w:tc>
          <w:tcPr>
            <w:tcW w:type="dxa" w:w="9360"/>
            <w:gridSpan w:val="2"/>
            <w:tcBorders>
              <w:top w:val="none" w:color="FFFFFF" w:sz="0"/>
              <w:left w:val="none" w:color="FFFFFF" w:sz="0"/>
              <w:bottom w:val="single" w:color="E4EBF3" w:sz="4"/>
              <w:right w:val="none" w:color="FFFFFF" w:sz="0"/>
            </w:tcBorders>
            <w:shd w:fill="FBFCFE" w:color="auto" w:val="clear"/>
            <w:tcMar>
              <w:top w:type="dxa" w:w="90"/>
              <w:left w:type="dxa" w:w="160"/>
              <w:bottom w:type="dxa" w:w="90"/>
              <w:right w:type="dxa" w:w="160"/>
            </w:tcMar>
          </w:tcPr>
          <w:p>
            <w:pPr>
              <w:spacing w:after="0" w:before="0" w:line="276"/>
            </w:pPr>
            <w:r>
              <w:rPr>
                <w:rFonts w:ascii="Calibri" w:cs="Calibri" w:eastAsia="Calibri" w:hAnsi="Calibri"/>
                <w:i/>
                <w:iCs/>
                <w:color w:val="22344A"/>
                <w:sz w:val="20"/>
                <w:szCs w:val="20"/>
              </w:rPr>
              <w:t xml:space="preserve">Our firewall environment has become too complex to manage manually.</w:t>
            </w:r>
          </w:p>
        </w:tc>
      </w:tr>
      <w:tr>
        <w:tc>
          <w:tcPr>
            <w:tcW w:type="dxa" w:w="2200"/>
            <w:tcBorders>
              <w:top w:val="none" w:color="FFFFFF" w:sz="0"/>
              <w:left w:val="none" w:color="FFFFFF" w:sz="0"/>
              <w:bottom w:val="single" w:color="E4EBF3" w:sz="4"/>
              <w:right w:val="none" w:color="FFFFFF" w:sz="0"/>
            </w:tcBorders>
            <w:shd w:fill="F7F9FC" w:color="auto" w:val="clear"/>
            <w:tcMar>
              <w:top w:type="dxa" w:w="60"/>
              <w:left w:type="dxa" w:w="160"/>
              <w:bottom w:type="dxa" w:w="60"/>
              <w:right w:type="dxa" w:w="100"/>
            </w:tcMar>
          </w:tcPr>
          <w:p>
            <w:pPr>
              <w:spacing w:after="0" w:before="0" w:line="276"/>
            </w:pPr>
            <w:r>
              <w:rPr>
                <w:rFonts w:ascii="Calibri" w:cs="Calibri" w:eastAsia="Calibri" w:hAnsi="Calibri"/>
                <w:b/>
                <w:bCs/>
                <w:caps/>
                <w:color w:val="036C8F"/>
                <w:sz w:val="16"/>
                <w:szCs w:val="16"/>
              </w:rPr>
              <w:t xml:space="preserve">Product / Platform</w:t>
            </w:r>
          </w:p>
        </w:tc>
        <w:tc>
          <w:tcPr>
            <w:tcW w:type="dxa" w:w="7160"/>
            <w:tcBorders>
              <w:top w:val="none" w:color="FFFFFF" w:sz="0"/>
              <w:left w:val="none" w:color="FFFFFF" w:sz="0"/>
              <w:bottom w:val="single" w:color="E4EBF3" w:sz="4"/>
              <w:right w:val="none" w:color="FFFFFF" w:sz="0"/>
            </w:tcBorders>
            <w:tcMar>
              <w:top w:type="dxa" w:w="60"/>
              <w:left w:type="dxa" w:w="160"/>
              <w:bottom w:type="dxa" w:w="60"/>
              <w:right w:type="dxa" w:w="160"/>
            </w:tcMar>
          </w:tcPr>
          <w:p>
            <w:pPr>
              <w:spacing w:after="0" w:before="0" w:line="276"/>
            </w:pPr>
            <w:r>
              <w:rPr>
                <w:rFonts w:ascii="Calibri" w:cs="Calibri" w:eastAsia="Calibri" w:hAnsi="Calibri"/>
                <w:b/>
                <w:bCs/>
                <w:color w:val="036C8F"/>
                <w:sz w:val="20"/>
                <w:szCs w:val="20"/>
              </w:rPr>
              <w:t xml:space="preserve">Cisco Security Cloud Control, FMC, FTD</w:t>
            </w:r>
            <w:r>
              <w:rPr>
                <w:rFonts w:ascii="Calibri" w:cs="Calibri" w:eastAsia="Calibri" w:hAnsi="Calibri"/>
                <w:color w:val="7E8CA1"/>
                <w:sz w:val="18"/>
                <w:szCs w:val="18"/>
              </w:rPr>
              <w:t xml:space="preserve">  · Unified Policy Administration</w:t>
            </w:r>
          </w:p>
        </w:tc>
      </w:tr>
      <w:tr>
        <w:tc>
          <w:tcPr>
            <w:tcW w:type="dxa" w:w="2200"/>
            <w:tcBorders>
              <w:top w:val="none" w:color="FFFFFF" w:sz="0"/>
              <w:left w:val="none" w:color="FFFFFF" w:sz="0"/>
              <w:bottom w:val="single" w:color="E4EBF3" w:sz="4"/>
              <w:right w:val="none" w:color="FFFFFF" w:sz="0"/>
            </w:tcBorders>
            <w:shd w:fill="F7F9FC" w:color="auto" w:val="clear"/>
            <w:tcMar>
              <w:top w:type="dxa" w:w="60"/>
              <w:left w:type="dxa" w:w="160"/>
              <w:bottom w:type="dxa" w:w="60"/>
              <w:right w:type="dxa" w:w="100"/>
            </w:tcMar>
          </w:tcPr>
          <w:p>
            <w:pPr>
              <w:spacing w:after="0" w:before="0" w:line="276"/>
            </w:pPr>
            <w:r>
              <w:rPr>
                <w:rFonts w:ascii="Calibri" w:cs="Calibri" w:eastAsia="Calibri" w:hAnsi="Calibri"/>
                <w:b/>
                <w:bCs/>
                <w:caps/>
                <w:color w:val="036C8F"/>
                <w:sz w:val="16"/>
                <w:szCs w:val="16"/>
              </w:rPr>
              <w:t xml:space="preserve">Model SE response</w:t>
            </w:r>
          </w:p>
        </w:tc>
        <w:tc>
          <w:tcPr>
            <w:tcW w:type="dxa" w:w="7160"/>
            <w:tcBorders>
              <w:top w:val="none" w:color="FFFFFF" w:sz="0"/>
              <w:left w:val="none" w:color="FFFFFF" w:sz="0"/>
              <w:bottom w:val="single" w:color="E4EBF3" w:sz="4"/>
              <w:right w:val="none" w:color="FFFFFF" w:sz="0"/>
            </w:tcBorders>
            <w:tcMar>
              <w:top w:type="dxa" w:w="60"/>
              <w:left w:type="dxa" w:w="160"/>
              <w:bottom w:type="dxa" w:w="60"/>
              <w:right w:type="dxa" w:w="160"/>
            </w:tcMar>
          </w:tcPr>
          <w:p>
            <w:pPr>
              <w:spacing w:after="0" w:before="0" w:line="276"/>
            </w:pPr>
            <w:r>
              <w:rPr>
                <w:rFonts w:ascii="Calibri" w:cs="Calibri" w:eastAsia="Calibri" w:hAnsi="Calibri"/>
                <w:color w:val="22344A"/>
                <w:sz w:val="20"/>
                <w:szCs w:val="20"/>
              </w:rPr>
              <w:t xml:space="preserve">Cisco applies AI-driven analysis to firewall telemetry and policy data to surface optimization opportunities, reduce manual troubleshooting, and guide cleaner policy administration.</w:t>
            </w:r>
          </w:p>
        </w:tc>
      </w:tr>
      <w:tr>
        <w:tc>
          <w:tcPr>
            <w:tcW w:type="dxa" w:w="2200"/>
            <w:tcBorders>
              <w:top w:val="none" w:color="FFFFFF" w:sz="0"/>
              <w:left w:val="none" w:color="FFFFFF" w:sz="0"/>
              <w:bottom w:val="single" w:color="E4EBF3" w:sz="4"/>
              <w:right w:val="none" w:color="FFFFFF" w:sz="0"/>
            </w:tcBorders>
            <w:shd w:fill="F7F9FC" w:color="auto" w:val="clear"/>
            <w:tcMar>
              <w:top w:type="dxa" w:w="60"/>
              <w:left w:type="dxa" w:w="160"/>
              <w:bottom w:type="dxa" w:w="60"/>
              <w:right w:type="dxa" w:w="100"/>
            </w:tcMar>
          </w:tcPr>
          <w:p>
            <w:pPr>
              <w:spacing w:after="0" w:before="0" w:line="276"/>
            </w:pPr>
            <w:r>
              <w:rPr>
                <w:rFonts w:ascii="Calibri" w:cs="Calibri" w:eastAsia="Calibri" w:hAnsi="Calibri"/>
                <w:b/>
                <w:bCs/>
                <w:caps/>
                <w:color w:val="036C8F"/>
                <w:sz w:val="16"/>
                <w:szCs w:val="16"/>
              </w:rPr>
              <w:t xml:space="preserve">How it helps</w:t>
            </w:r>
          </w:p>
        </w:tc>
        <w:tc>
          <w:tcPr>
            <w:tcW w:type="dxa" w:w="7160"/>
            <w:tcBorders>
              <w:top w:val="none" w:color="FFFFFF" w:sz="0"/>
              <w:left w:val="none" w:color="FFFFFF" w:sz="0"/>
              <w:bottom w:val="single" w:color="E4EBF3" w:sz="4"/>
              <w:right w:val="none" w:color="FFFFFF" w:sz="0"/>
            </w:tcBorders>
            <w:tcMar>
              <w:top w:type="dxa" w:w="60"/>
              <w:left w:type="dxa" w:w="160"/>
              <w:bottom w:type="dxa" w:w="60"/>
              <w:right w:type="dxa" w:w="160"/>
            </w:tcMar>
          </w:tcPr>
          <w:p>
            <w:pPr>
              <w:spacing w:after="0" w:before="0" w:line="276"/>
            </w:pPr>
            <w:r>
              <w:rPr>
                <w:rFonts w:ascii="Calibri" w:cs="Calibri" w:eastAsia="Calibri" w:hAnsi="Calibri"/>
                <w:color w:val="22344A"/>
                <w:sz w:val="20"/>
                <w:szCs w:val="20"/>
              </w:rPr>
              <w:t xml:space="preserve">Reduces manual policy review; identifies redundant/stale rules; lowers risk from human error.</w:t>
            </w:r>
          </w:p>
        </w:tc>
      </w:tr>
    </w:tbl>
    <w:p>
      <w:pPr>
        <w:spacing w:after="50"/>
      </w:pPr>
      <w:r>
        <w:rPr>
          <w:rFonts w:ascii="Calibri" w:cs="Calibri" w:eastAsia="Calibri" w:hAnsi="Calibri"/>
          <w:color w:val="14263A"/>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0" w:hRule="atLeast"/>
        </w:trPr>
        <w:tc>
          <w:tcPr>
            <w:tcW w:type="dxa" w:w="9360"/>
            <w:tcBorders>
              <w:top w:val="single" w:color="E1E8F1" w:sz="6"/>
              <w:left w:val="single" w:color="E1E8F1" w:sz="6"/>
              <w:bottom w:val="single" w:color="E1E8F1" w:sz="6"/>
              <w:right w:val="single" w:color="E1E8F1" w:sz="6"/>
            </w:tcBorders>
            <w:shd w:fill="F7F9FC" w:color="auto" w:val="clear"/>
            <w:tcMar>
              <w:top w:type="dxa" w:w="120"/>
              <w:left w:type="dxa" w:w="160"/>
              <w:bottom w:type="dxa" w:w="120"/>
              <w:right w:type="dxa" w:w="160"/>
            </w:tcMar>
            <w:vAlign w:val="top"/>
          </w:tcPr>
          <w:p>
            <w:pPr>
              <w:spacing w:after="0"/>
            </w:pPr>
            <w:r>
              <w:rPr>
                <w:rFonts w:ascii="Calibri" w:cs="Calibri" w:eastAsia="Calibri" w:hAnsi="Calibri"/>
                <w:b/>
                <w:bCs/>
                <w:color w:val="0D274D"/>
                <w:sz w:val="17"/>
                <w:szCs w:val="17"/>
              </w:rPr>
              <w:t xml:space="preserve">Level cues:  </w:t>
            </w:r>
            <w:r>
              <w:rPr>
                <w:rFonts w:ascii="Calibri" w:cs="Calibri" w:eastAsia="Calibri" w:hAnsi="Calibri"/>
                <w:b/>
                <w:bCs/>
                <w:color w:val="B4711A"/>
                <w:sz w:val="17"/>
                <w:szCs w:val="17"/>
              </w:rPr>
              <w:t xml:space="preserve">Associate (6–13) </w:t>
            </w:r>
            <w:r>
              <w:rPr>
                <w:rFonts w:ascii="Calibri" w:cs="Calibri" w:eastAsia="Calibri" w:hAnsi="Calibri"/>
                <w:color w:val="46566E"/>
                <w:sz w:val="17"/>
                <w:szCs w:val="17"/>
              </w:rPr>
              <w:t xml:space="preserve">names Cisco Security Cloud Control, generic.   </w:t>
            </w:r>
            <w:r>
              <w:rPr>
                <w:rFonts w:ascii="Calibri" w:cs="Calibri" w:eastAsia="Calibri" w:hAnsi="Calibri"/>
                <w:b/>
                <w:bCs/>
                <w:color w:val="036C8F"/>
                <w:sz w:val="17"/>
                <w:szCs w:val="17"/>
              </w:rPr>
              <w:t xml:space="preserve">Professional (14–20) </w:t>
            </w:r>
            <w:r>
              <w:rPr>
                <w:rFonts w:ascii="Calibri" w:cs="Calibri" w:eastAsia="Calibri" w:hAnsi="Calibri"/>
                <w:color w:val="46566E"/>
                <w:sz w:val="17"/>
                <w:szCs w:val="17"/>
              </w:rPr>
              <w:t xml:space="preserve">+ how it addresses the concern.   </w:t>
            </w:r>
            <w:r>
              <w:rPr>
                <w:rFonts w:ascii="Calibri" w:cs="Calibri" w:eastAsia="Calibri" w:hAnsi="Calibri"/>
                <w:b/>
                <w:bCs/>
                <w:color w:val="1F8A63"/>
                <w:sz w:val="17"/>
                <w:szCs w:val="17"/>
              </w:rPr>
              <w:t xml:space="preserve">Expert (21–25) </w:t>
            </w:r>
            <w:r>
              <w:rPr>
                <w:rFonts w:ascii="Calibri" w:cs="Calibri" w:eastAsia="Calibri" w:hAnsi="Calibri"/>
                <w:color w:val="46566E"/>
                <w:sz w:val="17"/>
                <w:szCs w:val="17"/>
              </w:rPr>
              <w:t xml:space="preserve">+ Cedarline-specific reasoning &amp; outcome, ties to HMF.</w:t>
            </w:r>
          </w:p>
        </w:tc>
      </w:tr>
    </w:tbl>
    <w:p>
      <w:pPr>
        <w:spacing w:after="160"/>
      </w:pPr>
      <w:r>
        <w:rPr>
          <w:rFonts w:ascii="Calibri" w:cs="Calibri" w:eastAsia="Calibri" w:hAnsi="Calibri"/>
          <w:color w:val="14263A"/>
          <w:sz w:val="2"/>
          <w:szCs w:val="2"/>
        </w:rPr>
        <w:t xml:space="preserve"/>
      </w:r>
    </w:p>
    <w:tbl>
      <w:tblPr>
        <w:tblW w:type="dxa" w:w="9360"/>
        <w:tblBorders>
          <w:top w:val="single" w:color="C4D2E2" w:sz="6"/>
          <w:left w:val="single" w:color="C4D2E2" w:sz="6"/>
          <w:bottom w:val="single" w:color="C4D2E2" w:sz="6"/>
          <w:right w:val="single" w:color="C4D2E2" w:sz="6"/>
          <w:insideH w:val="none" w:color="FFFFFF" w:sz="0"/>
          <w:insideV w:val="none" w:color="FFFFFF" w:sz="0"/>
        </w:tblBorders>
      </w:tblPr>
      <w:tblGrid>
        <w:gridCol w:w="2200"/>
        <w:gridCol w:w="7160"/>
      </w:tblGrid>
      <w:tr>
        <w:tc>
          <w:tcPr>
            <w:tcW w:type="dxa" w:w="9360"/>
            <w:gridSpan w:val="2"/>
            <w:tcBorders>
              <w:top w:val="none" w:color="FFFFFF" w:sz="0"/>
              <w:left w:val="none" w:color="FFFFFF" w:sz="0"/>
              <w:bottom w:val="none" w:color="FFFFFF" w:sz="0"/>
              <w:right w:val="none" w:color="FFFFFF" w:sz="0"/>
            </w:tcBorders>
            <w:shd w:fill="0D274D" w:color="auto" w:val="clear"/>
            <w:tcMar>
              <w:top w:type="dxa" w:w="60"/>
              <w:left w:type="dxa" w:w="160"/>
              <w:bottom w:type="dxa" w:w="60"/>
              <w:right w:type="dxa" w:w="160"/>
            </w:tcMar>
          </w:tcPr>
          <w:p>
            <w:pPr>
              <w:tabs>
                <w:tab w:val="right" w:pos="9100"/>
              </w:tabs>
              <w:spacing w:after="0"/>
            </w:pPr>
            <w:r>
              <w:rPr>
                <w:rFonts w:ascii="Calibri" w:cs="Calibri" w:eastAsia="Calibri" w:hAnsi="Calibri"/>
                <w:b/>
                <w:bCs/>
                <w:color w:val="FFFFFF"/>
                <w:sz w:val="21"/>
                <w:szCs w:val="21"/>
              </w:rPr>
              <w:t xml:space="preserve">Pain Point 3</w:t>
            </w:r>
            <w:r>
              <w:rPr>
                <w:rFonts w:ascii="Calibri" w:cs="Calibri" w:eastAsia="Calibri" w:hAnsi="Calibri"/>
                <w:b/>
                <w:bCs/>
                <w:color w:val="7FE2EF"/>
                <w:sz w:val="18"/>
                <w:szCs w:val="18"/>
              </w:rPr>
              <w:t xml:space="preserve">	25 pts</w:t>
            </w:r>
          </w:p>
        </w:tc>
      </w:tr>
      <w:tr>
        <w:tc>
          <w:tcPr>
            <w:tcW w:type="dxa" w:w="9360"/>
            <w:gridSpan w:val="2"/>
            <w:tcBorders>
              <w:top w:val="none" w:color="FFFFFF" w:sz="0"/>
              <w:left w:val="none" w:color="FFFFFF" w:sz="0"/>
              <w:bottom w:val="single" w:color="E4EBF3" w:sz="4"/>
              <w:right w:val="none" w:color="FFFFFF" w:sz="0"/>
            </w:tcBorders>
            <w:shd w:fill="FBFCFE" w:color="auto" w:val="clear"/>
            <w:tcMar>
              <w:top w:type="dxa" w:w="90"/>
              <w:left w:type="dxa" w:w="160"/>
              <w:bottom w:type="dxa" w:w="90"/>
              <w:right w:type="dxa" w:w="160"/>
            </w:tcMar>
          </w:tcPr>
          <w:p>
            <w:pPr>
              <w:spacing w:after="0" w:before="0" w:line="276"/>
            </w:pPr>
            <w:r>
              <w:rPr>
                <w:rFonts w:ascii="Calibri" w:cs="Calibri" w:eastAsia="Calibri" w:hAnsi="Calibri"/>
                <w:i/>
                <w:iCs/>
                <w:color w:val="22344A"/>
                <w:sz w:val="20"/>
                <w:szCs w:val="20"/>
              </w:rPr>
              <w:t xml:space="preserve">Most of our traffic is encrypted, so we've lost visibility into a huge part of our environment.</w:t>
            </w:r>
          </w:p>
        </w:tc>
      </w:tr>
      <w:tr>
        <w:tc>
          <w:tcPr>
            <w:tcW w:type="dxa" w:w="2200"/>
            <w:tcBorders>
              <w:top w:val="none" w:color="FFFFFF" w:sz="0"/>
              <w:left w:val="none" w:color="FFFFFF" w:sz="0"/>
              <w:bottom w:val="single" w:color="E4EBF3" w:sz="4"/>
              <w:right w:val="none" w:color="FFFFFF" w:sz="0"/>
            </w:tcBorders>
            <w:shd w:fill="F7F9FC" w:color="auto" w:val="clear"/>
            <w:tcMar>
              <w:top w:type="dxa" w:w="60"/>
              <w:left w:type="dxa" w:w="160"/>
              <w:bottom w:type="dxa" w:w="60"/>
              <w:right w:type="dxa" w:w="100"/>
            </w:tcMar>
          </w:tcPr>
          <w:p>
            <w:pPr>
              <w:spacing w:after="0" w:before="0" w:line="276"/>
            </w:pPr>
            <w:r>
              <w:rPr>
                <w:rFonts w:ascii="Calibri" w:cs="Calibri" w:eastAsia="Calibri" w:hAnsi="Calibri"/>
                <w:b/>
                <w:bCs/>
                <w:caps/>
                <w:color w:val="036C8F"/>
                <w:sz w:val="16"/>
                <w:szCs w:val="16"/>
              </w:rPr>
              <w:t xml:space="preserve">Product / Platform</w:t>
            </w:r>
          </w:p>
        </w:tc>
        <w:tc>
          <w:tcPr>
            <w:tcW w:type="dxa" w:w="7160"/>
            <w:tcBorders>
              <w:top w:val="none" w:color="FFFFFF" w:sz="0"/>
              <w:left w:val="none" w:color="FFFFFF" w:sz="0"/>
              <w:bottom w:val="single" w:color="E4EBF3" w:sz="4"/>
              <w:right w:val="none" w:color="FFFFFF" w:sz="0"/>
            </w:tcBorders>
            <w:tcMar>
              <w:top w:type="dxa" w:w="60"/>
              <w:left w:type="dxa" w:w="160"/>
              <w:bottom w:type="dxa" w:w="60"/>
              <w:right w:type="dxa" w:w="160"/>
            </w:tcMar>
          </w:tcPr>
          <w:p>
            <w:pPr>
              <w:spacing w:after="0" w:before="0" w:line="276"/>
            </w:pPr>
            <w:r>
              <w:rPr>
                <w:rFonts w:ascii="Calibri" w:cs="Calibri" w:eastAsia="Calibri" w:hAnsi="Calibri"/>
                <w:b/>
                <w:bCs/>
                <w:color w:val="036C8F"/>
                <w:sz w:val="20"/>
                <w:szCs w:val="20"/>
              </w:rPr>
              <w:t xml:space="preserve">Cisco Secure Firewall (FTD), FMC, Security Cloud Control</w:t>
            </w:r>
            <w:r>
              <w:rPr>
                <w:rFonts w:ascii="Calibri" w:cs="Calibri" w:eastAsia="Calibri" w:hAnsi="Calibri"/>
                <w:color w:val="7E8CA1"/>
                <w:sz w:val="18"/>
                <w:szCs w:val="18"/>
              </w:rPr>
              <w:t xml:space="preserve">  · EVE</w:t>
            </w:r>
          </w:p>
        </w:tc>
      </w:tr>
      <w:tr>
        <w:tc>
          <w:tcPr>
            <w:tcW w:type="dxa" w:w="2200"/>
            <w:tcBorders>
              <w:top w:val="none" w:color="FFFFFF" w:sz="0"/>
              <w:left w:val="none" w:color="FFFFFF" w:sz="0"/>
              <w:bottom w:val="single" w:color="E4EBF3" w:sz="4"/>
              <w:right w:val="none" w:color="FFFFFF" w:sz="0"/>
            </w:tcBorders>
            <w:shd w:fill="F7F9FC" w:color="auto" w:val="clear"/>
            <w:tcMar>
              <w:top w:type="dxa" w:w="60"/>
              <w:left w:type="dxa" w:w="160"/>
              <w:bottom w:type="dxa" w:w="60"/>
              <w:right w:type="dxa" w:w="100"/>
            </w:tcMar>
          </w:tcPr>
          <w:p>
            <w:pPr>
              <w:spacing w:after="0" w:before="0" w:line="276"/>
            </w:pPr>
            <w:r>
              <w:rPr>
                <w:rFonts w:ascii="Calibri" w:cs="Calibri" w:eastAsia="Calibri" w:hAnsi="Calibri"/>
                <w:b/>
                <w:bCs/>
                <w:caps/>
                <w:color w:val="036C8F"/>
                <w:sz w:val="16"/>
                <w:szCs w:val="16"/>
              </w:rPr>
              <w:t xml:space="preserve">Model SE response</w:t>
            </w:r>
          </w:p>
        </w:tc>
        <w:tc>
          <w:tcPr>
            <w:tcW w:type="dxa" w:w="7160"/>
            <w:tcBorders>
              <w:top w:val="none" w:color="FFFFFF" w:sz="0"/>
              <w:left w:val="none" w:color="FFFFFF" w:sz="0"/>
              <w:bottom w:val="single" w:color="E4EBF3" w:sz="4"/>
              <w:right w:val="none" w:color="FFFFFF" w:sz="0"/>
            </w:tcBorders>
            <w:tcMar>
              <w:top w:type="dxa" w:w="60"/>
              <w:left w:type="dxa" w:w="160"/>
              <w:bottom w:type="dxa" w:w="60"/>
              <w:right w:type="dxa" w:w="160"/>
            </w:tcMar>
          </w:tcPr>
          <w:p>
            <w:pPr>
              <w:spacing w:after="0" w:before="0" w:line="276"/>
            </w:pPr>
            <w:r>
              <w:rPr>
                <w:rFonts w:ascii="Calibri" w:cs="Calibri" w:eastAsia="Calibri" w:hAnsi="Calibri"/>
                <w:color w:val="22344A"/>
                <w:sz w:val="20"/>
                <w:szCs w:val="20"/>
              </w:rPr>
              <w:t xml:space="preserve">Encrypted Visibility Engine (EVE) uses AI/ML-based fingerprinting to analyze encrypted traffic patterns and identify suspicious behavior without decrypting the payload.</w:t>
            </w:r>
          </w:p>
        </w:tc>
      </w:tr>
      <w:tr>
        <w:tc>
          <w:tcPr>
            <w:tcW w:type="dxa" w:w="2200"/>
            <w:tcBorders>
              <w:top w:val="none" w:color="FFFFFF" w:sz="0"/>
              <w:left w:val="none" w:color="FFFFFF" w:sz="0"/>
              <w:bottom w:val="single" w:color="E4EBF3" w:sz="4"/>
              <w:right w:val="none" w:color="FFFFFF" w:sz="0"/>
            </w:tcBorders>
            <w:shd w:fill="F7F9FC" w:color="auto" w:val="clear"/>
            <w:tcMar>
              <w:top w:type="dxa" w:w="60"/>
              <w:left w:type="dxa" w:w="160"/>
              <w:bottom w:type="dxa" w:w="60"/>
              <w:right w:type="dxa" w:w="100"/>
            </w:tcMar>
          </w:tcPr>
          <w:p>
            <w:pPr>
              <w:spacing w:after="0" w:before="0" w:line="276"/>
            </w:pPr>
            <w:r>
              <w:rPr>
                <w:rFonts w:ascii="Calibri" w:cs="Calibri" w:eastAsia="Calibri" w:hAnsi="Calibri"/>
                <w:b/>
                <w:bCs/>
                <w:caps/>
                <w:color w:val="036C8F"/>
                <w:sz w:val="16"/>
                <w:szCs w:val="16"/>
              </w:rPr>
              <w:t xml:space="preserve">How it helps</w:t>
            </w:r>
          </w:p>
        </w:tc>
        <w:tc>
          <w:tcPr>
            <w:tcW w:type="dxa" w:w="7160"/>
            <w:tcBorders>
              <w:top w:val="none" w:color="FFFFFF" w:sz="0"/>
              <w:left w:val="none" w:color="FFFFFF" w:sz="0"/>
              <w:bottom w:val="single" w:color="E4EBF3" w:sz="4"/>
              <w:right w:val="none" w:color="FFFFFF" w:sz="0"/>
            </w:tcBorders>
            <w:tcMar>
              <w:top w:type="dxa" w:w="60"/>
              <w:left w:type="dxa" w:w="160"/>
              <w:bottom w:type="dxa" w:w="60"/>
              <w:right w:type="dxa" w:w="160"/>
            </w:tcMar>
          </w:tcPr>
          <w:p>
            <w:pPr>
              <w:spacing w:after="0" w:before="0" w:line="276"/>
            </w:pPr>
            <w:r>
              <w:rPr>
                <w:rFonts w:ascii="Calibri" w:cs="Calibri" w:eastAsia="Calibri" w:hAnsi="Calibri"/>
                <w:color w:val="22344A"/>
                <w:sz w:val="20"/>
                <w:szCs w:val="20"/>
              </w:rPr>
              <w:t xml:space="preserve">Restores visibility into encrypted blind spots; avoids the performance/privacy overhead of decrypt-everything strategies.</w:t>
            </w:r>
          </w:p>
        </w:tc>
      </w:tr>
    </w:tbl>
    <w:p>
      <w:pPr>
        <w:spacing w:after="50"/>
      </w:pPr>
      <w:r>
        <w:rPr>
          <w:rFonts w:ascii="Calibri" w:cs="Calibri" w:eastAsia="Calibri" w:hAnsi="Calibri"/>
          <w:color w:val="14263A"/>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0" w:hRule="atLeast"/>
        </w:trPr>
        <w:tc>
          <w:tcPr>
            <w:tcW w:type="dxa" w:w="9360"/>
            <w:tcBorders>
              <w:top w:val="single" w:color="E1E8F1" w:sz="6"/>
              <w:left w:val="single" w:color="E1E8F1" w:sz="6"/>
              <w:bottom w:val="single" w:color="E1E8F1" w:sz="6"/>
              <w:right w:val="single" w:color="E1E8F1" w:sz="6"/>
            </w:tcBorders>
            <w:shd w:fill="F7F9FC" w:color="auto" w:val="clear"/>
            <w:tcMar>
              <w:top w:type="dxa" w:w="120"/>
              <w:left w:type="dxa" w:w="160"/>
              <w:bottom w:type="dxa" w:w="120"/>
              <w:right w:type="dxa" w:w="160"/>
            </w:tcMar>
            <w:vAlign w:val="top"/>
          </w:tcPr>
          <w:p>
            <w:pPr>
              <w:spacing w:after="0"/>
            </w:pPr>
            <w:r>
              <w:rPr>
                <w:rFonts w:ascii="Calibri" w:cs="Calibri" w:eastAsia="Calibri" w:hAnsi="Calibri"/>
                <w:b/>
                <w:bCs/>
                <w:color w:val="0D274D"/>
                <w:sz w:val="17"/>
                <w:szCs w:val="17"/>
              </w:rPr>
              <w:t xml:space="preserve">Level cues:  </w:t>
            </w:r>
            <w:r>
              <w:rPr>
                <w:rFonts w:ascii="Calibri" w:cs="Calibri" w:eastAsia="Calibri" w:hAnsi="Calibri"/>
                <w:b/>
                <w:bCs/>
                <w:color w:val="B4711A"/>
                <w:sz w:val="17"/>
                <w:szCs w:val="17"/>
              </w:rPr>
              <w:t xml:space="preserve">Associate (6–13) </w:t>
            </w:r>
            <w:r>
              <w:rPr>
                <w:rFonts w:ascii="Calibri" w:cs="Calibri" w:eastAsia="Calibri" w:hAnsi="Calibri"/>
                <w:color w:val="46566E"/>
                <w:sz w:val="17"/>
                <w:szCs w:val="17"/>
              </w:rPr>
              <w:t xml:space="preserve">names Cisco Secure Firewall (FTD), generic.   </w:t>
            </w:r>
            <w:r>
              <w:rPr>
                <w:rFonts w:ascii="Calibri" w:cs="Calibri" w:eastAsia="Calibri" w:hAnsi="Calibri"/>
                <w:b/>
                <w:bCs/>
                <w:color w:val="036C8F"/>
                <w:sz w:val="17"/>
                <w:szCs w:val="17"/>
              </w:rPr>
              <w:t xml:space="preserve">Professional (14–20) </w:t>
            </w:r>
            <w:r>
              <w:rPr>
                <w:rFonts w:ascii="Calibri" w:cs="Calibri" w:eastAsia="Calibri" w:hAnsi="Calibri"/>
                <w:color w:val="46566E"/>
                <w:sz w:val="17"/>
                <w:szCs w:val="17"/>
              </w:rPr>
              <w:t xml:space="preserve">+ how it addresses the concern.   </w:t>
            </w:r>
            <w:r>
              <w:rPr>
                <w:rFonts w:ascii="Calibri" w:cs="Calibri" w:eastAsia="Calibri" w:hAnsi="Calibri"/>
                <w:b/>
                <w:bCs/>
                <w:color w:val="1F8A63"/>
                <w:sz w:val="17"/>
                <w:szCs w:val="17"/>
              </w:rPr>
              <w:t xml:space="preserve">Expert (21–25) </w:t>
            </w:r>
            <w:r>
              <w:rPr>
                <w:rFonts w:ascii="Calibri" w:cs="Calibri" w:eastAsia="Calibri" w:hAnsi="Calibri"/>
                <w:color w:val="46566E"/>
                <w:sz w:val="17"/>
                <w:szCs w:val="17"/>
              </w:rPr>
              <w:t xml:space="preserve">+ Cedarline-specific reasoning &amp; outcome, ties to HMF.</w:t>
            </w:r>
          </w:p>
        </w:tc>
      </w:tr>
    </w:tbl>
    <w:p>
      <w:pPr>
        <w:spacing w:after="160"/>
      </w:pPr>
      <w:r>
        <w:rPr>
          <w:rFonts w:ascii="Calibri" w:cs="Calibri" w:eastAsia="Calibri" w:hAnsi="Calibri"/>
          <w:color w:val="14263A"/>
          <w:sz w:val="2"/>
          <w:szCs w:val="2"/>
        </w:rPr>
        <w:t xml:space="preserve"/>
      </w:r>
    </w:p>
    <w:tbl>
      <w:tblPr>
        <w:tblW w:type="dxa" w:w="9360"/>
        <w:tblBorders>
          <w:top w:val="single" w:color="C4D2E2" w:sz="6"/>
          <w:left w:val="single" w:color="C4D2E2" w:sz="6"/>
          <w:bottom w:val="single" w:color="C4D2E2" w:sz="6"/>
          <w:right w:val="single" w:color="C4D2E2" w:sz="6"/>
          <w:insideH w:val="none" w:color="FFFFFF" w:sz="0"/>
          <w:insideV w:val="none" w:color="FFFFFF" w:sz="0"/>
        </w:tblBorders>
      </w:tblPr>
      <w:tblGrid>
        <w:gridCol w:w="2200"/>
        <w:gridCol w:w="7160"/>
      </w:tblGrid>
      <w:tr>
        <w:tc>
          <w:tcPr>
            <w:tcW w:type="dxa" w:w="9360"/>
            <w:gridSpan w:val="2"/>
            <w:tcBorders>
              <w:top w:val="none" w:color="FFFFFF" w:sz="0"/>
              <w:left w:val="none" w:color="FFFFFF" w:sz="0"/>
              <w:bottom w:val="none" w:color="FFFFFF" w:sz="0"/>
              <w:right w:val="none" w:color="FFFFFF" w:sz="0"/>
            </w:tcBorders>
            <w:shd w:fill="0D274D" w:color="auto" w:val="clear"/>
            <w:tcMar>
              <w:top w:type="dxa" w:w="60"/>
              <w:left w:type="dxa" w:w="160"/>
              <w:bottom w:type="dxa" w:w="60"/>
              <w:right w:type="dxa" w:w="160"/>
            </w:tcMar>
          </w:tcPr>
          <w:p>
            <w:pPr>
              <w:tabs>
                <w:tab w:val="right" w:pos="9100"/>
              </w:tabs>
              <w:spacing w:after="0"/>
            </w:pPr>
            <w:r>
              <w:rPr>
                <w:rFonts w:ascii="Calibri" w:cs="Calibri" w:eastAsia="Calibri" w:hAnsi="Calibri"/>
                <w:b/>
                <w:bCs/>
                <w:color w:val="FFFFFF"/>
                <w:sz w:val="21"/>
                <w:szCs w:val="21"/>
              </w:rPr>
              <w:t xml:space="preserve">Pain Point 4</w:t>
            </w:r>
            <w:r>
              <w:rPr>
                <w:rFonts w:ascii="Calibri" w:cs="Calibri" w:eastAsia="Calibri" w:hAnsi="Calibri"/>
                <w:b/>
                <w:bCs/>
                <w:color w:val="7FE2EF"/>
                <w:sz w:val="18"/>
                <w:szCs w:val="18"/>
              </w:rPr>
              <w:t xml:space="preserve">	25 pts</w:t>
            </w:r>
          </w:p>
        </w:tc>
      </w:tr>
      <w:tr>
        <w:tc>
          <w:tcPr>
            <w:tcW w:type="dxa" w:w="9360"/>
            <w:gridSpan w:val="2"/>
            <w:tcBorders>
              <w:top w:val="none" w:color="FFFFFF" w:sz="0"/>
              <w:left w:val="none" w:color="FFFFFF" w:sz="0"/>
              <w:bottom w:val="single" w:color="E4EBF3" w:sz="4"/>
              <w:right w:val="none" w:color="FFFFFF" w:sz="0"/>
            </w:tcBorders>
            <w:shd w:fill="FBFCFE" w:color="auto" w:val="clear"/>
            <w:tcMar>
              <w:top w:type="dxa" w:w="90"/>
              <w:left w:type="dxa" w:w="160"/>
              <w:bottom w:type="dxa" w:w="90"/>
              <w:right w:type="dxa" w:w="160"/>
            </w:tcMar>
          </w:tcPr>
          <w:p>
            <w:pPr>
              <w:spacing w:after="0" w:before="0" w:line="276"/>
            </w:pPr>
            <w:r>
              <w:rPr>
                <w:rFonts w:ascii="Calibri" w:cs="Calibri" w:eastAsia="Calibri" w:hAnsi="Calibri"/>
                <w:i/>
                <w:iCs/>
                <w:color w:val="22344A"/>
                <w:sz w:val="20"/>
                <w:szCs w:val="20"/>
              </w:rPr>
              <w:t xml:space="preserve">We're worried traditional signature-based detection won't catch new or unknown attacks quickly enough.</w:t>
            </w:r>
          </w:p>
        </w:tc>
      </w:tr>
      <w:tr>
        <w:tc>
          <w:tcPr>
            <w:tcW w:type="dxa" w:w="2200"/>
            <w:tcBorders>
              <w:top w:val="none" w:color="FFFFFF" w:sz="0"/>
              <w:left w:val="none" w:color="FFFFFF" w:sz="0"/>
              <w:bottom w:val="single" w:color="E4EBF3" w:sz="4"/>
              <w:right w:val="none" w:color="FFFFFF" w:sz="0"/>
            </w:tcBorders>
            <w:shd w:fill="F7F9FC" w:color="auto" w:val="clear"/>
            <w:tcMar>
              <w:top w:type="dxa" w:w="60"/>
              <w:left w:type="dxa" w:w="160"/>
              <w:bottom w:type="dxa" w:w="60"/>
              <w:right w:type="dxa" w:w="100"/>
            </w:tcMar>
          </w:tcPr>
          <w:p>
            <w:pPr>
              <w:spacing w:after="0" w:before="0" w:line="276"/>
            </w:pPr>
            <w:r>
              <w:rPr>
                <w:rFonts w:ascii="Calibri" w:cs="Calibri" w:eastAsia="Calibri" w:hAnsi="Calibri"/>
                <w:b/>
                <w:bCs/>
                <w:caps/>
                <w:color w:val="036C8F"/>
                <w:sz w:val="16"/>
                <w:szCs w:val="16"/>
              </w:rPr>
              <w:t xml:space="preserve">Product / Platform</w:t>
            </w:r>
          </w:p>
        </w:tc>
        <w:tc>
          <w:tcPr>
            <w:tcW w:type="dxa" w:w="7160"/>
            <w:tcBorders>
              <w:top w:val="none" w:color="FFFFFF" w:sz="0"/>
              <w:left w:val="none" w:color="FFFFFF" w:sz="0"/>
              <w:bottom w:val="single" w:color="E4EBF3" w:sz="4"/>
              <w:right w:val="none" w:color="FFFFFF" w:sz="0"/>
            </w:tcBorders>
            <w:tcMar>
              <w:top w:type="dxa" w:w="60"/>
              <w:left w:type="dxa" w:w="160"/>
              <w:bottom w:type="dxa" w:w="60"/>
              <w:right w:type="dxa" w:w="160"/>
            </w:tcMar>
          </w:tcPr>
          <w:p>
            <w:pPr>
              <w:spacing w:after="0" w:before="0" w:line="276"/>
            </w:pPr>
            <w:r>
              <w:rPr>
                <w:rFonts w:ascii="Calibri" w:cs="Calibri" w:eastAsia="Calibri" w:hAnsi="Calibri"/>
                <w:b/>
                <w:bCs/>
                <w:color w:val="036C8F"/>
                <w:sz w:val="20"/>
                <w:szCs w:val="20"/>
              </w:rPr>
              <w:t xml:space="preserve">Cisco Secure Firewall (FTD), FMC, Security Cloud Control</w:t>
            </w:r>
            <w:r>
              <w:rPr>
                <w:rFonts w:ascii="Calibri" w:cs="Calibri" w:eastAsia="Calibri" w:hAnsi="Calibri"/>
                <w:color w:val="7E8CA1"/>
                <w:sz w:val="18"/>
                <w:szCs w:val="18"/>
              </w:rPr>
              <w:t xml:space="preserve">  · Snort ML</w:t>
            </w:r>
          </w:p>
        </w:tc>
      </w:tr>
      <w:tr>
        <w:tc>
          <w:tcPr>
            <w:tcW w:type="dxa" w:w="2200"/>
            <w:tcBorders>
              <w:top w:val="none" w:color="FFFFFF" w:sz="0"/>
              <w:left w:val="none" w:color="FFFFFF" w:sz="0"/>
              <w:bottom w:val="single" w:color="E4EBF3" w:sz="4"/>
              <w:right w:val="none" w:color="FFFFFF" w:sz="0"/>
            </w:tcBorders>
            <w:shd w:fill="F7F9FC" w:color="auto" w:val="clear"/>
            <w:tcMar>
              <w:top w:type="dxa" w:w="60"/>
              <w:left w:type="dxa" w:w="160"/>
              <w:bottom w:type="dxa" w:w="60"/>
              <w:right w:type="dxa" w:w="100"/>
            </w:tcMar>
          </w:tcPr>
          <w:p>
            <w:pPr>
              <w:spacing w:after="0" w:before="0" w:line="276"/>
            </w:pPr>
            <w:r>
              <w:rPr>
                <w:rFonts w:ascii="Calibri" w:cs="Calibri" w:eastAsia="Calibri" w:hAnsi="Calibri"/>
                <w:b/>
                <w:bCs/>
                <w:caps/>
                <w:color w:val="036C8F"/>
                <w:sz w:val="16"/>
                <w:szCs w:val="16"/>
              </w:rPr>
              <w:t xml:space="preserve">Model SE response</w:t>
            </w:r>
          </w:p>
        </w:tc>
        <w:tc>
          <w:tcPr>
            <w:tcW w:type="dxa" w:w="7160"/>
            <w:tcBorders>
              <w:top w:val="none" w:color="FFFFFF" w:sz="0"/>
              <w:left w:val="none" w:color="FFFFFF" w:sz="0"/>
              <w:bottom w:val="single" w:color="E4EBF3" w:sz="4"/>
              <w:right w:val="none" w:color="FFFFFF" w:sz="0"/>
            </w:tcBorders>
            <w:tcMar>
              <w:top w:type="dxa" w:w="60"/>
              <w:left w:type="dxa" w:w="160"/>
              <w:bottom w:type="dxa" w:w="60"/>
              <w:right w:type="dxa" w:w="160"/>
            </w:tcMar>
          </w:tcPr>
          <w:p>
            <w:pPr>
              <w:spacing w:after="0" w:before="0" w:line="276"/>
            </w:pPr>
            <w:r>
              <w:rPr>
                <w:rFonts w:ascii="Calibri" w:cs="Calibri" w:eastAsia="Calibri" w:hAnsi="Calibri"/>
                <w:color w:val="22344A"/>
                <w:sz w:val="20"/>
                <w:szCs w:val="20"/>
              </w:rPr>
              <w:t xml:space="preserve">That's exactly where Snort ML helps. It adds machine-learning-based detection inside the Snort 3 engine to identify exploit behavior associated with unknown/zero-day threats.</w:t>
            </w:r>
          </w:p>
        </w:tc>
      </w:tr>
      <w:tr>
        <w:tc>
          <w:tcPr>
            <w:tcW w:type="dxa" w:w="2200"/>
            <w:tcBorders>
              <w:top w:val="none" w:color="FFFFFF" w:sz="0"/>
              <w:left w:val="none" w:color="FFFFFF" w:sz="0"/>
              <w:bottom w:val="single" w:color="E4EBF3" w:sz="4"/>
              <w:right w:val="none" w:color="FFFFFF" w:sz="0"/>
            </w:tcBorders>
            <w:shd w:fill="F7F9FC" w:color="auto" w:val="clear"/>
            <w:tcMar>
              <w:top w:type="dxa" w:w="60"/>
              <w:left w:type="dxa" w:w="160"/>
              <w:bottom w:type="dxa" w:w="60"/>
              <w:right w:type="dxa" w:w="100"/>
            </w:tcMar>
          </w:tcPr>
          <w:p>
            <w:pPr>
              <w:spacing w:after="0" w:before="0" w:line="276"/>
            </w:pPr>
            <w:r>
              <w:rPr>
                <w:rFonts w:ascii="Calibri" w:cs="Calibri" w:eastAsia="Calibri" w:hAnsi="Calibri"/>
                <w:b/>
                <w:bCs/>
                <w:caps/>
                <w:color w:val="036C8F"/>
                <w:sz w:val="16"/>
                <w:szCs w:val="16"/>
              </w:rPr>
              <w:t xml:space="preserve">How it helps</w:t>
            </w:r>
          </w:p>
        </w:tc>
        <w:tc>
          <w:tcPr>
            <w:tcW w:type="dxa" w:w="7160"/>
            <w:tcBorders>
              <w:top w:val="none" w:color="FFFFFF" w:sz="0"/>
              <w:left w:val="none" w:color="FFFFFF" w:sz="0"/>
              <w:bottom w:val="single" w:color="E4EBF3" w:sz="4"/>
              <w:right w:val="none" w:color="FFFFFF" w:sz="0"/>
            </w:tcBorders>
            <w:tcMar>
              <w:top w:type="dxa" w:w="60"/>
              <w:left w:type="dxa" w:w="160"/>
              <w:bottom w:type="dxa" w:w="60"/>
              <w:right w:type="dxa" w:w="160"/>
            </w:tcMar>
          </w:tcPr>
          <w:p>
            <w:pPr>
              <w:spacing w:after="0" w:before="0" w:line="276"/>
            </w:pPr>
            <w:r>
              <w:rPr>
                <w:rFonts w:ascii="Calibri" w:cs="Calibri" w:eastAsia="Calibri" w:hAnsi="Calibri"/>
                <w:color w:val="22344A"/>
                <w:sz w:val="20"/>
                <w:szCs w:val="20"/>
              </w:rPr>
              <w:t xml:space="preserve">Addresses the gap between known and unknown threat detection; reduces dependence on signature timing.</w:t>
            </w:r>
          </w:p>
        </w:tc>
      </w:tr>
    </w:tbl>
    <w:p>
      <w:pPr>
        <w:spacing w:after="50"/>
      </w:pPr>
      <w:r>
        <w:rPr>
          <w:rFonts w:ascii="Calibri" w:cs="Calibri" w:eastAsia="Calibri" w:hAnsi="Calibri"/>
          <w:color w:val="14263A"/>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0" w:hRule="atLeast"/>
        </w:trPr>
        <w:tc>
          <w:tcPr>
            <w:tcW w:type="dxa" w:w="9360"/>
            <w:tcBorders>
              <w:top w:val="single" w:color="E1E8F1" w:sz="6"/>
              <w:left w:val="single" w:color="E1E8F1" w:sz="6"/>
              <w:bottom w:val="single" w:color="E1E8F1" w:sz="6"/>
              <w:right w:val="single" w:color="E1E8F1" w:sz="6"/>
            </w:tcBorders>
            <w:shd w:fill="F7F9FC" w:color="auto" w:val="clear"/>
            <w:tcMar>
              <w:top w:type="dxa" w:w="120"/>
              <w:left w:type="dxa" w:w="160"/>
              <w:bottom w:type="dxa" w:w="120"/>
              <w:right w:type="dxa" w:w="160"/>
            </w:tcMar>
            <w:vAlign w:val="top"/>
          </w:tcPr>
          <w:p>
            <w:pPr>
              <w:spacing w:after="0"/>
            </w:pPr>
            <w:r>
              <w:rPr>
                <w:rFonts w:ascii="Calibri" w:cs="Calibri" w:eastAsia="Calibri" w:hAnsi="Calibri"/>
                <w:b/>
                <w:bCs/>
                <w:color w:val="0D274D"/>
                <w:sz w:val="17"/>
                <w:szCs w:val="17"/>
              </w:rPr>
              <w:t xml:space="preserve">Level cues:  </w:t>
            </w:r>
            <w:r>
              <w:rPr>
                <w:rFonts w:ascii="Calibri" w:cs="Calibri" w:eastAsia="Calibri" w:hAnsi="Calibri"/>
                <w:b/>
                <w:bCs/>
                <w:color w:val="B4711A"/>
                <w:sz w:val="17"/>
                <w:szCs w:val="17"/>
              </w:rPr>
              <w:t xml:space="preserve">Associate (6–13) </w:t>
            </w:r>
            <w:r>
              <w:rPr>
                <w:rFonts w:ascii="Calibri" w:cs="Calibri" w:eastAsia="Calibri" w:hAnsi="Calibri"/>
                <w:color w:val="46566E"/>
                <w:sz w:val="17"/>
                <w:szCs w:val="17"/>
              </w:rPr>
              <w:t xml:space="preserve">names Cisco Secure Firewall (FTD), generic.   </w:t>
            </w:r>
            <w:r>
              <w:rPr>
                <w:rFonts w:ascii="Calibri" w:cs="Calibri" w:eastAsia="Calibri" w:hAnsi="Calibri"/>
                <w:b/>
                <w:bCs/>
                <w:color w:val="036C8F"/>
                <w:sz w:val="17"/>
                <w:szCs w:val="17"/>
              </w:rPr>
              <w:t xml:space="preserve">Professional (14–20) </w:t>
            </w:r>
            <w:r>
              <w:rPr>
                <w:rFonts w:ascii="Calibri" w:cs="Calibri" w:eastAsia="Calibri" w:hAnsi="Calibri"/>
                <w:color w:val="46566E"/>
                <w:sz w:val="17"/>
                <w:szCs w:val="17"/>
              </w:rPr>
              <w:t xml:space="preserve">+ how it addresses the concern.   </w:t>
            </w:r>
            <w:r>
              <w:rPr>
                <w:rFonts w:ascii="Calibri" w:cs="Calibri" w:eastAsia="Calibri" w:hAnsi="Calibri"/>
                <w:b/>
                <w:bCs/>
                <w:color w:val="1F8A63"/>
                <w:sz w:val="17"/>
                <w:szCs w:val="17"/>
              </w:rPr>
              <w:t xml:space="preserve">Expert (21–25) </w:t>
            </w:r>
            <w:r>
              <w:rPr>
                <w:rFonts w:ascii="Calibri" w:cs="Calibri" w:eastAsia="Calibri" w:hAnsi="Calibri"/>
                <w:color w:val="46566E"/>
                <w:sz w:val="17"/>
                <w:szCs w:val="17"/>
              </w:rPr>
              <w:t xml:space="preserve">+ Cedarline-specific reasoning &amp; outcome, ties to HMF.</w:t>
            </w:r>
          </w:p>
        </w:tc>
      </w:tr>
    </w:tbl>
    <w:p>
      <w:pPr>
        <w:spacing w:after="160"/>
      </w:pPr>
      <w:r>
        <w:rPr>
          <w:rFonts w:ascii="Calibri" w:cs="Calibri" w:eastAsia="Calibri" w:hAnsi="Calibri"/>
          <w:color w:val="14263A"/>
          <w:sz w:val="2"/>
          <w:szCs w:val="2"/>
        </w:rPr>
        <w:t xml:space="preserve"/>
      </w:r>
    </w:p>
    <w:p>
      <w:pPr>
        <w:pageBreakBefore/>
        <w:spacing w:after="0" w:before="0" w:line="276"/>
      </w:pPr>
    </w:p>
    <w:p>
      <w:pPr>
        <w:spacing w:after="40" w:before="0" w:line="276"/>
      </w:pPr>
      <w:r>
        <w:rPr>
          <w:rFonts w:ascii="Calibri" w:cs="Calibri" w:eastAsia="Calibri" w:hAnsi="Calibri"/>
          <w:b/>
          <w:bCs/>
          <w:caps/>
          <w:color w:val="036C8F"/>
          <w:sz w:val="16"/>
          <w:szCs w:val="16"/>
        </w:rPr>
        <w:t xml:space="preserve">Case Study 4 · reference answers</w:t>
      </w:r>
    </w:p>
    <w:p>
      <w:pPr>
        <w:spacing w:after="80" w:before="0" w:line="276"/>
      </w:pPr>
      <w:r>
        <w:rPr>
          <w:rFonts w:ascii="Calibri" w:cs="Calibri" w:eastAsia="Calibri" w:hAnsi="Calibri"/>
          <w:b/>
          <w:bCs/>
          <w:color w:val="0D274D"/>
          <w:sz w:val="30"/>
          <w:szCs w:val="30"/>
        </w:rPr>
        <w:t xml:space="preserve">Macro &amp; Micro Segmentation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0" w:hRule="atLeast"/>
        </w:trPr>
        <w:tc>
          <w:tcPr>
            <w:tcW w:type="dxa" w:w="9360"/>
            <w:tcBorders>
              <w:top w:val="single" w:color="DCE6F1" w:sz="6"/>
              <w:left w:val="single" w:color="DCE6F1" w:sz="6"/>
              <w:bottom w:val="single" w:color="DCE6F1" w:sz="6"/>
              <w:right w:val="single" w:color="DCE6F1" w:sz="6"/>
            </w:tcBorders>
            <w:shd w:fill="F3F7FB" w:color="auto" w:val="clear"/>
            <w:tcMar>
              <w:top w:type="dxa" w:w="120"/>
              <w:left w:type="dxa" w:w="160"/>
              <w:bottom w:type="dxa" w:w="120"/>
              <w:right w:type="dxa" w:w="160"/>
            </w:tcMar>
            <w:vAlign w:val="top"/>
          </w:tcPr>
          <w:p>
            <w:pPr>
              <w:spacing w:after="0" w:before="0" w:line="276"/>
            </w:pPr>
            <w:r>
              <w:rPr>
                <w:rFonts w:ascii="Calibri" w:cs="Calibri" w:eastAsia="Calibri" w:hAnsi="Calibri"/>
                <w:b/>
                <w:bCs/>
                <w:color w:val="0D274D"/>
                <w:sz w:val="21"/>
                <w:szCs w:val="21"/>
              </w:rPr>
              <w:t xml:space="preserve">Focus.  </w:t>
            </w:r>
            <w:r>
              <w:rPr>
                <w:rFonts w:ascii="Calibri" w:cs="Calibri" w:eastAsia="Calibri" w:hAnsi="Calibri"/>
                <w:color w:val="33465F"/>
                <w:sz w:val="21"/>
                <w:szCs w:val="21"/>
              </w:rPr>
              <w:t xml:space="preserve">A flat data centre and fragmented Kubernetes networking invite east-west movement. Build segmentation Cedarline can adopt safely — with runtime visibility and application-dependency awareness so nothing breaks.</w:t>
            </w:r>
          </w:p>
        </w:tc>
      </w:tr>
    </w:tbl>
    <w:p>
      <w:pPr>
        <w:spacing w:after="140"/>
      </w:pPr>
      <w:r>
        <w:rPr>
          <w:rFonts w:ascii="Calibri" w:cs="Calibri" w:eastAsia="Calibri" w:hAnsi="Calibri"/>
          <w:color w:val="14263A"/>
          <w:sz w:val="2"/>
          <w:szCs w:val="2"/>
        </w:rPr>
        <w:t xml:space="preserve"/>
      </w:r>
    </w:p>
    <w:tbl>
      <w:tblPr>
        <w:tblW w:type="dxa" w:w="9360"/>
        <w:tblBorders>
          <w:top w:val="single" w:color="C4D2E2" w:sz="6"/>
          <w:left w:val="single" w:color="C4D2E2" w:sz="6"/>
          <w:bottom w:val="single" w:color="C4D2E2" w:sz="6"/>
          <w:right w:val="single" w:color="C4D2E2" w:sz="6"/>
          <w:insideH w:val="none" w:color="FFFFFF" w:sz="0"/>
          <w:insideV w:val="none" w:color="FFFFFF" w:sz="0"/>
        </w:tblBorders>
      </w:tblPr>
      <w:tblGrid>
        <w:gridCol w:w="2200"/>
        <w:gridCol w:w="7160"/>
      </w:tblGrid>
      <w:tr>
        <w:tc>
          <w:tcPr>
            <w:tcW w:type="dxa" w:w="9360"/>
            <w:gridSpan w:val="2"/>
            <w:tcBorders>
              <w:top w:val="none" w:color="FFFFFF" w:sz="0"/>
              <w:left w:val="none" w:color="FFFFFF" w:sz="0"/>
              <w:bottom w:val="none" w:color="FFFFFF" w:sz="0"/>
              <w:right w:val="none" w:color="FFFFFF" w:sz="0"/>
            </w:tcBorders>
            <w:shd w:fill="0D274D" w:color="auto" w:val="clear"/>
            <w:tcMar>
              <w:top w:type="dxa" w:w="60"/>
              <w:left w:type="dxa" w:w="160"/>
              <w:bottom w:type="dxa" w:w="60"/>
              <w:right w:type="dxa" w:w="160"/>
            </w:tcMar>
          </w:tcPr>
          <w:p>
            <w:pPr>
              <w:tabs>
                <w:tab w:val="right" w:pos="9100"/>
              </w:tabs>
              <w:spacing w:after="0"/>
            </w:pPr>
            <w:r>
              <w:rPr>
                <w:rFonts w:ascii="Calibri" w:cs="Calibri" w:eastAsia="Calibri" w:hAnsi="Calibri"/>
                <w:b/>
                <w:bCs/>
                <w:color w:val="FFFFFF"/>
                <w:sz w:val="21"/>
                <w:szCs w:val="21"/>
              </w:rPr>
              <w:t xml:space="preserve">Pain Point 1</w:t>
            </w:r>
            <w:r>
              <w:rPr>
                <w:rFonts w:ascii="Calibri" w:cs="Calibri" w:eastAsia="Calibri" w:hAnsi="Calibri"/>
                <w:b/>
                <w:bCs/>
                <w:color w:val="7FE2EF"/>
                <w:sz w:val="18"/>
                <w:szCs w:val="18"/>
              </w:rPr>
              <w:t xml:space="preserve">	25 pts</w:t>
            </w:r>
          </w:p>
        </w:tc>
      </w:tr>
      <w:tr>
        <w:tc>
          <w:tcPr>
            <w:tcW w:type="dxa" w:w="9360"/>
            <w:gridSpan w:val="2"/>
            <w:tcBorders>
              <w:top w:val="none" w:color="FFFFFF" w:sz="0"/>
              <w:left w:val="none" w:color="FFFFFF" w:sz="0"/>
              <w:bottom w:val="single" w:color="E4EBF3" w:sz="4"/>
              <w:right w:val="none" w:color="FFFFFF" w:sz="0"/>
            </w:tcBorders>
            <w:shd w:fill="FBFCFE" w:color="auto" w:val="clear"/>
            <w:tcMar>
              <w:top w:type="dxa" w:w="90"/>
              <w:left w:type="dxa" w:w="160"/>
              <w:bottom w:type="dxa" w:w="90"/>
              <w:right w:type="dxa" w:w="160"/>
            </w:tcMar>
          </w:tcPr>
          <w:p>
            <w:pPr>
              <w:spacing w:after="0" w:before="0" w:line="276"/>
            </w:pPr>
            <w:r>
              <w:rPr>
                <w:rFonts w:ascii="Calibri" w:cs="Calibri" w:eastAsia="Calibri" w:hAnsi="Calibri"/>
                <w:i/>
                <w:iCs/>
                <w:color w:val="22344A"/>
                <w:sz w:val="20"/>
                <w:szCs w:val="20"/>
              </w:rPr>
              <w:t xml:space="preserve">Network policy helps, but we also need to know what's happening at runtime inside the workload. We need better detection of suspicious behavior and policy violations.</w:t>
            </w:r>
          </w:p>
        </w:tc>
      </w:tr>
      <w:tr>
        <w:tc>
          <w:tcPr>
            <w:tcW w:type="dxa" w:w="2200"/>
            <w:tcBorders>
              <w:top w:val="none" w:color="FFFFFF" w:sz="0"/>
              <w:left w:val="none" w:color="FFFFFF" w:sz="0"/>
              <w:bottom w:val="single" w:color="E4EBF3" w:sz="4"/>
              <w:right w:val="none" w:color="FFFFFF" w:sz="0"/>
            </w:tcBorders>
            <w:shd w:fill="F7F9FC" w:color="auto" w:val="clear"/>
            <w:tcMar>
              <w:top w:type="dxa" w:w="60"/>
              <w:left w:type="dxa" w:w="160"/>
              <w:bottom w:type="dxa" w:w="60"/>
              <w:right w:type="dxa" w:w="100"/>
            </w:tcMar>
          </w:tcPr>
          <w:p>
            <w:pPr>
              <w:spacing w:after="0" w:before="0" w:line="276"/>
            </w:pPr>
            <w:r>
              <w:rPr>
                <w:rFonts w:ascii="Calibri" w:cs="Calibri" w:eastAsia="Calibri" w:hAnsi="Calibri"/>
                <w:b/>
                <w:bCs/>
                <w:caps/>
                <w:color w:val="036C8F"/>
                <w:sz w:val="16"/>
                <w:szCs w:val="16"/>
              </w:rPr>
              <w:t xml:space="preserve">Product / Platform</w:t>
            </w:r>
          </w:p>
        </w:tc>
        <w:tc>
          <w:tcPr>
            <w:tcW w:type="dxa" w:w="7160"/>
            <w:tcBorders>
              <w:top w:val="none" w:color="FFFFFF" w:sz="0"/>
              <w:left w:val="none" w:color="FFFFFF" w:sz="0"/>
              <w:bottom w:val="single" w:color="E4EBF3" w:sz="4"/>
              <w:right w:val="none" w:color="FFFFFF" w:sz="0"/>
            </w:tcBorders>
            <w:tcMar>
              <w:top w:type="dxa" w:w="60"/>
              <w:left w:type="dxa" w:w="160"/>
              <w:bottom w:type="dxa" w:w="60"/>
              <w:right w:type="dxa" w:w="160"/>
            </w:tcMar>
          </w:tcPr>
          <w:p>
            <w:pPr>
              <w:spacing w:after="0" w:before="0" w:line="276"/>
            </w:pPr>
            <w:r>
              <w:rPr>
                <w:rFonts w:ascii="Calibri" w:cs="Calibri" w:eastAsia="Calibri" w:hAnsi="Calibri"/>
                <w:b/>
                <w:bCs/>
                <w:color w:val="036C8F"/>
                <w:sz w:val="20"/>
                <w:szCs w:val="20"/>
              </w:rPr>
              <w:t xml:space="preserve">Isovalent</w:t>
            </w:r>
            <w:r>
              <w:rPr>
                <w:rFonts w:ascii="Calibri" w:cs="Calibri" w:eastAsia="Calibri" w:hAnsi="Calibri"/>
                <w:color w:val="7E8CA1"/>
                <w:sz w:val="18"/>
                <w:szCs w:val="18"/>
              </w:rPr>
              <w:t xml:space="preserve">  · Tetragon Runtime Security</w:t>
            </w:r>
          </w:p>
        </w:tc>
      </w:tr>
      <w:tr>
        <w:tc>
          <w:tcPr>
            <w:tcW w:type="dxa" w:w="2200"/>
            <w:tcBorders>
              <w:top w:val="none" w:color="FFFFFF" w:sz="0"/>
              <w:left w:val="none" w:color="FFFFFF" w:sz="0"/>
              <w:bottom w:val="single" w:color="E4EBF3" w:sz="4"/>
              <w:right w:val="none" w:color="FFFFFF" w:sz="0"/>
            </w:tcBorders>
            <w:shd w:fill="F7F9FC" w:color="auto" w:val="clear"/>
            <w:tcMar>
              <w:top w:type="dxa" w:w="60"/>
              <w:left w:type="dxa" w:w="160"/>
              <w:bottom w:type="dxa" w:w="60"/>
              <w:right w:type="dxa" w:w="100"/>
            </w:tcMar>
          </w:tcPr>
          <w:p>
            <w:pPr>
              <w:spacing w:after="0" w:before="0" w:line="276"/>
            </w:pPr>
            <w:r>
              <w:rPr>
                <w:rFonts w:ascii="Calibri" w:cs="Calibri" w:eastAsia="Calibri" w:hAnsi="Calibri"/>
                <w:b/>
                <w:bCs/>
                <w:caps/>
                <w:color w:val="036C8F"/>
                <w:sz w:val="16"/>
                <w:szCs w:val="16"/>
              </w:rPr>
              <w:t xml:space="preserve">Model SE response</w:t>
            </w:r>
          </w:p>
        </w:tc>
        <w:tc>
          <w:tcPr>
            <w:tcW w:type="dxa" w:w="7160"/>
            <w:tcBorders>
              <w:top w:val="none" w:color="FFFFFF" w:sz="0"/>
              <w:left w:val="none" w:color="FFFFFF" w:sz="0"/>
              <w:bottom w:val="single" w:color="E4EBF3" w:sz="4"/>
              <w:right w:val="none" w:color="FFFFFF" w:sz="0"/>
            </w:tcBorders>
            <w:tcMar>
              <w:top w:type="dxa" w:w="60"/>
              <w:left w:type="dxa" w:w="160"/>
              <w:bottom w:type="dxa" w:w="60"/>
              <w:right w:type="dxa" w:w="160"/>
            </w:tcMar>
          </w:tcPr>
          <w:p>
            <w:pPr>
              <w:spacing w:after="0" w:before="0" w:line="276"/>
            </w:pPr>
            <w:r>
              <w:rPr>
                <w:rFonts w:ascii="Calibri" w:cs="Calibri" w:eastAsia="Calibri" w:hAnsi="Calibri"/>
                <w:color w:val="22344A"/>
                <w:sz w:val="20"/>
                <w:szCs w:val="20"/>
              </w:rPr>
              <w:t xml:space="preserve">That's where Tetragon comes in. Tetragon extends the value of Cilium by providing eBPF-based runtime security and threat detection. It monitors system-level activity and network behavior in real time, so you can detect suspicious actions, investigate runtime events, and enforce security policy closer to the workload. In other words, Cilium helps control connectivity and segmentation, while Tetragon helps you understand and secure runtime behavior.</w:t>
            </w:r>
          </w:p>
        </w:tc>
      </w:tr>
      <w:tr>
        <w:tc>
          <w:tcPr>
            <w:tcW w:type="dxa" w:w="2200"/>
            <w:tcBorders>
              <w:top w:val="none" w:color="FFFFFF" w:sz="0"/>
              <w:left w:val="none" w:color="FFFFFF" w:sz="0"/>
              <w:bottom w:val="single" w:color="E4EBF3" w:sz="4"/>
              <w:right w:val="none" w:color="FFFFFF" w:sz="0"/>
            </w:tcBorders>
            <w:shd w:fill="F7F9FC" w:color="auto" w:val="clear"/>
            <w:tcMar>
              <w:top w:type="dxa" w:w="60"/>
              <w:left w:type="dxa" w:w="160"/>
              <w:bottom w:type="dxa" w:w="60"/>
              <w:right w:type="dxa" w:w="100"/>
            </w:tcMar>
          </w:tcPr>
          <w:p>
            <w:pPr>
              <w:spacing w:after="0" w:before="0" w:line="276"/>
            </w:pPr>
            <w:r>
              <w:rPr>
                <w:rFonts w:ascii="Calibri" w:cs="Calibri" w:eastAsia="Calibri" w:hAnsi="Calibri"/>
                <w:b/>
                <w:bCs/>
                <w:caps/>
                <w:color w:val="036C8F"/>
                <w:sz w:val="16"/>
                <w:szCs w:val="16"/>
              </w:rPr>
              <w:t xml:space="preserve">How it helps</w:t>
            </w:r>
          </w:p>
        </w:tc>
        <w:tc>
          <w:tcPr>
            <w:tcW w:type="dxa" w:w="7160"/>
            <w:tcBorders>
              <w:top w:val="none" w:color="FFFFFF" w:sz="0"/>
              <w:left w:val="none" w:color="FFFFFF" w:sz="0"/>
              <w:bottom w:val="single" w:color="E4EBF3" w:sz="4"/>
              <w:right w:val="none" w:color="FFFFFF" w:sz="0"/>
            </w:tcBorders>
            <w:tcMar>
              <w:top w:type="dxa" w:w="60"/>
              <w:left w:type="dxa" w:w="160"/>
              <w:bottom w:type="dxa" w:w="60"/>
              <w:right w:type="dxa" w:w="160"/>
            </w:tcMar>
          </w:tcPr>
          <w:p>
            <w:pPr>
              <w:spacing w:after="0" w:before="0" w:line="276"/>
            </w:pPr>
            <w:r>
              <w:rPr>
                <w:rFonts w:ascii="Calibri" w:cs="Calibri" w:eastAsia="Calibri" w:hAnsi="Calibri"/>
                <w:color w:val="22344A"/>
                <w:sz w:val="20"/>
                <w:szCs w:val="20"/>
              </w:rPr>
              <w:t xml:space="preserve">Adds runtime visibility beyond basic network controls
Detects suspicious system and network behavior in real time
Strengthens Kubernetes security with deeper workload-level insight</w:t>
            </w:r>
          </w:p>
        </w:tc>
      </w:tr>
    </w:tbl>
    <w:p>
      <w:pPr>
        <w:spacing w:after="50"/>
      </w:pPr>
      <w:r>
        <w:rPr>
          <w:rFonts w:ascii="Calibri" w:cs="Calibri" w:eastAsia="Calibri" w:hAnsi="Calibri"/>
          <w:color w:val="14263A"/>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0" w:hRule="atLeast"/>
        </w:trPr>
        <w:tc>
          <w:tcPr>
            <w:tcW w:type="dxa" w:w="9360"/>
            <w:tcBorders>
              <w:top w:val="single" w:color="E1E8F1" w:sz="6"/>
              <w:left w:val="single" w:color="E1E8F1" w:sz="6"/>
              <w:bottom w:val="single" w:color="E1E8F1" w:sz="6"/>
              <w:right w:val="single" w:color="E1E8F1" w:sz="6"/>
            </w:tcBorders>
            <w:shd w:fill="F7F9FC" w:color="auto" w:val="clear"/>
            <w:tcMar>
              <w:top w:type="dxa" w:w="120"/>
              <w:left w:type="dxa" w:w="160"/>
              <w:bottom w:type="dxa" w:w="120"/>
              <w:right w:type="dxa" w:w="160"/>
            </w:tcMar>
            <w:vAlign w:val="top"/>
          </w:tcPr>
          <w:p>
            <w:pPr>
              <w:spacing w:after="0"/>
            </w:pPr>
            <w:r>
              <w:rPr>
                <w:rFonts w:ascii="Calibri" w:cs="Calibri" w:eastAsia="Calibri" w:hAnsi="Calibri"/>
                <w:b/>
                <w:bCs/>
                <w:color w:val="0D274D"/>
                <w:sz w:val="17"/>
                <w:szCs w:val="17"/>
              </w:rPr>
              <w:t xml:space="preserve">Level cues:  </w:t>
            </w:r>
            <w:r>
              <w:rPr>
                <w:rFonts w:ascii="Calibri" w:cs="Calibri" w:eastAsia="Calibri" w:hAnsi="Calibri"/>
                <w:b/>
                <w:bCs/>
                <w:color w:val="B4711A"/>
                <w:sz w:val="17"/>
                <w:szCs w:val="17"/>
              </w:rPr>
              <w:t xml:space="preserve">Associate (6–13) </w:t>
            </w:r>
            <w:r>
              <w:rPr>
                <w:rFonts w:ascii="Calibri" w:cs="Calibri" w:eastAsia="Calibri" w:hAnsi="Calibri"/>
                <w:color w:val="46566E"/>
                <w:sz w:val="17"/>
                <w:szCs w:val="17"/>
              </w:rPr>
              <w:t xml:space="preserve">names Isovalent, generic.   </w:t>
            </w:r>
            <w:r>
              <w:rPr>
                <w:rFonts w:ascii="Calibri" w:cs="Calibri" w:eastAsia="Calibri" w:hAnsi="Calibri"/>
                <w:b/>
                <w:bCs/>
                <w:color w:val="036C8F"/>
                <w:sz w:val="17"/>
                <w:szCs w:val="17"/>
              </w:rPr>
              <w:t xml:space="preserve">Professional (14–20) </w:t>
            </w:r>
            <w:r>
              <w:rPr>
                <w:rFonts w:ascii="Calibri" w:cs="Calibri" w:eastAsia="Calibri" w:hAnsi="Calibri"/>
                <w:color w:val="46566E"/>
                <w:sz w:val="17"/>
                <w:szCs w:val="17"/>
              </w:rPr>
              <w:t xml:space="preserve">+ how it addresses the concern.   </w:t>
            </w:r>
            <w:r>
              <w:rPr>
                <w:rFonts w:ascii="Calibri" w:cs="Calibri" w:eastAsia="Calibri" w:hAnsi="Calibri"/>
                <w:b/>
                <w:bCs/>
                <w:color w:val="1F8A63"/>
                <w:sz w:val="17"/>
                <w:szCs w:val="17"/>
              </w:rPr>
              <w:t xml:space="preserve">Expert (21–25) </w:t>
            </w:r>
            <w:r>
              <w:rPr>
                <w:rFonts w:ascii="Calibri" w:cs="Calibri" w:eastAsia="Calibri" w:hAnsi="Calibri"/>
                <w:color w:val="46566E"/>
                <w:sz w:val="17"/>
                <w:szCs w:val="17"/>
              </w:rPr>
              <w:t xml:space="preserve">+ Cedarline-specific reasoning &amp; outcome, ties to HMF.</w:t>
            </w:r>
          </w:p>
        </w:tc>
      </w:tr>
    </w:tbl>
    <w:p>
      <w:pPr>
        <w:spacing w:after="160"/>
      </w:pPr>
      <w:r>
        <w:rPr>
          <w:rFonts w:ascii="Calibri" w:cs="Calibri" w:eastAsia="Calibri" w:hAnsi="Calibri"/>
          <w:color w:val="14263A"/>
          <w:sz w:val="2"/>
          <w:szCs w:val="2"/>
        </w:rPr>
        <w:t xml:space="preserve"/>
      </w:r>
    </w:p>
    <w:tbl>
      <w:tblPr>
        <w:tblW w:type="dxa" w:w="9360"/>
        <w:tblBorders>
          <w:top w:val="single" w:color="C4D2E2" w:sz="6"/>
          <w:left w:val="single" w:color="C4D2E2" w:sz="6"/>
          <w:bottom w:val="single" w:color="C4D2E2" w:sz="6"/>
          <w:right w:val="single" w:color="C4D2E2" w:sz="6"/>
          <w:insideH w:val="none" w:color="FFFFFF" w:sz="0"/>
          <w:insideV w:val="none" w:color="FFFFFF" w:sz="0"/>
        </w:tblBorders>
      </w:tblPr>
      <w:tblGrid>
        <w:gridCol w:w="2200"/>
        <w:gridCol w:w="7160"/>
      </w:tblGrid>
      <w:tr>
        <w:tc>
          <w:tcPr>
            <w:tcW w:type="dxa" w:w="9360"/>
            <w:gridSpan w:val="2"/>
            <w:tcBorders>
              <w:top w:val="none" w:color="FFFFFF" w:sz="0"/>
              <w:left w:val="none" w:color="FFFFFF" w:sz="0"/>
              <w:bottom w:val="none" w:color="FFFFFF" w:sz="0"/>
              <w:right w:val="none" w:color="FFFFFF" w:sz="0"/>
            </w:tcBorders>
            <w:shd w:fill="0D274D" w:color="auto" w:val="clear"/>
            <w:tcMar>
              <w:top w:type="dxa" w:w="60"/>
              <w:left w:type="dxa" w:w="160"/>
              <w:bottom w:type="dxa" w:w="60"/>
              <w:right w:type="dxa" w:w="160"/>
            </w:tcMar>
          </w:tcPr>
          <w:p>
            <w:pPr>
              <w:tabs>
                <w:tab w:val="right" w:pos="9100"/>
              </w:tabs>
              <w:spacing w:after="0"/>
            </w:pPr>
            <w:r>
              <w:rPr>
                <w:rFonts w:ascii="Calibri" w:cs="Calibri" w:eastAsia="Calibri" w:hAnsi="Calibri"/>
                <w:b/>
                <w:bCs/>
                <w:color w:val="FFFFFF"/>
                <w:sz w:val="21"/>
                <w:szCs w:val="21"/>
              </w:rPr>
              <w:t xml:space="preserve">Pain Point 2</w:t>
            </w:r>
            <w:r>
              <w:rPr>
                <w:rFonts w:ascii="Calibri" w:cs="Calibri" w:eastAsia="Calibri" w:hAnsi="Calibri"/>
                <w:b/>
                <w:bCs/>
                <w:color w:val="7FE2EF"/>
                <w:sz w:val="18"/>
                <w:szCs w:val="18"/>
              </w:rPr>
              <w:t xml:space="preserve">	25 pts</w:t>
            </w:r>
          </w:p>
        </w:tc>
      </w:tr>
      <w:tr>
        <w:tc>
          <w:tcPr>
            <w:tcW w:type="dxa" w:w="9360"/>
            <w:gridSpan w:val="2"/>
            <w:tcBorders>
              <w:top w:val="none" w:color="FFFFFF" w:sz="0"/>
              <w:left w:val="none" w:color="FFFFFF" w:sz="0"/>
              <w:bottom w:val="single" w:color="E4EBF3" w:sz="4"/>
              <w:right w:val="none" w:color="FFFFFF" w:sz="0"/>
            </w:tcBorders>
            <w:shd w:fill="FBFCFE" w:color="auto" w:val="clear"/>
            <w:tcMar>
              <w:top w:type="dxa" w:w="90"/>
              <w:left w:type="dxa" w:w="160"/>
              <w:bottom w:type="dxa" w:w="90"/>
              <w:right w:type="dxa" w:w="160"/>
            </w:tcMar>
          </w:tcPr>
          <w:p>
            <w:pPr>
              <w:spacing w:after="0" w:before="0" w:line="276"/>
            </w:pPr>
            <w:r>
              <w:rPr>
                <w:rFonts w:ascii="Calibri" w:cs="Calibri" w:eastAsia="Calibri" w:hAnsi="Calibri"/>
                <w:i/>
                <w:iCs/>
                <w:color w:val="22344A"/>
                <w:sz w:val="20"/>
                <w:szCs w:val="20"/>
              </w:rPr>
              <w:t xml:space="preserve">Our Kubernetes networking feels fragmented across clusters and environments. We're dealing with too many moving parts, inconsistent policies, and too much operational complexity.</w:t>
            </w:r>
          </w:p>
        </w:tc>
      </w:tr>
      <w:tr>
        <w:tc>
          <w:tcPr>
            <w:tcW w:type="dxa" w:w="2200"/>
            <w:tcBorders>
              <w:top w:val="none" w:color="FFFFFF" w:sz="0"/>
              <w:left w:val="none" w:color="FFFFFF" w:sz="0"/>
              <w:bottom w:val="single" w:color="E4EBF3" w:sz="4"/>
              <w:right w:val="none" w:color="FFFFFF" w:sz="0"/>
            </w:tcBorders>
            <w:shd w:fill="F7F9FC" w:color="auto" w:val="clear"/>
            <w:tcMar>
              <w:top w:type="dxa" w:w="60"/>
              <w:left w:type="dxa" w:w="160"/>
              <w:bottom w:type="dxa" w:w="60"/>
              <w:right w:type="dxa" w:w="100"/>
            </w:tcMar>
          </w:tcPr>
          <w:p>
            <w:pPr>
              <w:spacing w:after="0" w:before="0" w:line="276"/>
            </w:pPr>
            <w:r>
              <w:rPr>
                <w:rFonts w:ascii="Calibri" w:cs="Calibri" w:eastAsia="Calibri" w:hAnsi="Calibri"/>
                <w:b/>
                <w:bCs/>
                <w:caps/>
                <w:color w:val="036C8F"/>
                <w:sz w:val="16"/>
                <w:szCs w:val="16"/>
              </w:rPr>
              <w:t xml:space="preserve">Product / Platform</w:t>
            </w:r>
          </w:p>
        </w:tc>
        <w:tc>
          <w:tcPr>
            <w:tcW w:type="dxa" w:w="7160"/>
            <w:tcBorders>
              <w:top w:val="none" w:color="FFFFFF" w:sz="0"/>
              <w:left w:val="none" w:color="FFFFFF" w:sz="0"/>
              <w:bottom w:val="single" w:color="E4EBF3" w:sz="4"/>
              <w:right w:val="none" w:color="FFFFFF" w:sz="0"/>
            </w:tcBorders>
            <w:tcMar>
              <w:top w:type="dxa" w:w="60"/>
              <w:left w:type="dxa" w:w="160"/>
              <w:bottom w:type="dxa" w:w="60"/>
              <w:right w:type="dxa" w:w="160"/>
            </w:tcMar>
          </w:tcPr>
          <w:p>
            <w:pPr>
              <w:spacing w:after="0" w:before="0" w:line="276"/>
            </w:pPr>
            <w:r>
              <w:rPr>
                <w:rFonts w:ascii="Calibri" w:cs="Calibri" w:eastAsia="Calibri" w:hAnsi="Calibri"/>
                <w:b/>
                <w:bCs/>
                <w:color w:val="036C8F"/>
                <w:sz w:val="20"/>
                <w:szCs w:val="20"/>
              </w:rPr>
              <w:t xml:space="preserve">—</w:t>
            </w:r>
            <w:r>
              <w:rPr>
                <w:rFonts w:ascii="Calibri" w:cs="Calibri" w:eastAsia="Calibri" w:hAnsi="Calibri"/>
                <w:color w:val="7E8CA1"/>
                <w:sz w:val="18"/>
                <w:szCs w:val="18"/>
              </w:rPr>
              <w:t xml:space="preserve">  · Cilium Networking Policies</w:t>
            </w:r>
          </w:p>
        </w:tc>
      </w:tr>
      <w:tr>
        <w:tc>
          <w:tcPr>
            <w:tcW w:type="dxa" w:w="2200"/>
            <w:tcBorders>
              <w:top w:val="none" w:color="FFFFFF" w:sz="0"/>
              <w:left w:val="none" w:color="FFFFFF" w:sz="0"/>
              <w:bottom w:val="single" w:color="E4EBF3" w:sz="4"/>
              <w:right w:val="none" w:color="FFFFFF" w:sz="0"/>
            </w:tcBorders>
            <w:shd w:fill="F7F9FC" w:color="auto" w:val="clear"/>
            <w:tcMar>
              <w:top w:type="dxa" w:w="60"/>
              <w:left w:type="dxa" w:w="160"/>
              <w:bottom w:type="dxa" w:w="60"/>
              <w:right w:type="dxa" w:w="100"/>
            </w:tcMar>
          </w:tcPr>
          <w:p>
            <w:pPr>
              <w:spacing w:after="0" w:before="0" w:line="276"/>
            </w:pPr>
            <w:r>
              <w:rPr>
                <w:rFonts w:ascii="Calibri" w:cs="Calibri" w:eastAsia="Calibri" w:hAnsi="Calibri"/>
                <w:b/>
                <w:bCs/>
                <w:caps/>
                <w:color w:val="036C8F"/>
                <w:sz w:val="16"/>
                <w:szCs w:val="16"/>
              </w:rPr>
              <w:t xml:space="preserve">Model SE response</w:t>
            </w:r>
          </w:p>
        </w:tc>
        <w:tc>
          <w:tcPr>
            <w:tcW w:type="dxa" w:w="7160"/>
            <w:tcBorders>
              <w:top w:val="none" w:color="FFFFFF" w:sz="0"/>
              <w:left w:val="none" w:color="FFFFFF" w:sz="0"/>
              <w:bottom w:val="single" w:color="E4EBF3" w:sz="4"/>
              <w:right w:val="none" w:color="FFFFFF" w:sz="0"/>
            </w:tcBorders>
            <w:tcMar>
              <w:top w:type="dxa" w:w="60"/>
              <w:left w:type="dxa" w:w="160"/>
              <w:bottom w:type="dxa" w:w="60"/>
              <w:right w:type="dxa" w:w="160"/>
            </w:tcMar>
          </w:tcPr>
          <w:p>
            <w:pPr>
              <w:spacing w:after="0" w:before="0" w:line="276"/>
            </w:pPr>
            <w:r>
              <w:rPr>
                <w:rFonts w:ascii="Calibri" w:cs="Calibri" w:eastAsia="Calibri" w:hAnsi="Calibri"/>
                <w:color w:val="22344A"/>
                <w:sz w:val="20"/>
                <w:szCs w:val="20"/>
              </w:rPr>
              <w:t xml:space="preserve">That's exactly where Isovalent Cilium helps. Cilium provides a modern, eBPF-based Kubernetes networking layer that gives you consistent connectivity, policy enforcement, and visibility across clusters and environments. Instead of relying on older, IP-centric approaches that struggle in dynamic Kubernetes environments, Cilium enables more scalable and identity-aware networking designed for cloud-native workloads.</w:t>
            </w:r>
          </w:p>
        </w:tc>
      </w:tr>
      <w:tr>
        <w:tc>
          <w:tcPr>
            <w:tcW w:type="dxa" w:w="2200"/>
            <w:tcBorders>
              <w:top w:val="none" w:color="FFFFFF" w:sz="0"/>
              <w:left w:val="none" w:color="FFFFFF" w:sz="0"/>
              <w:bottom w:val="single" w:color="E4EBF3" w:sz="4"/>
              <w:right w:val="none" w:color="FFFFFF" w:sz="0"/>
            </w:tcBorders>
            <w:shd w:fill="F7F9FC" w:color="auto" w:val="clear"/>
            <w:tcMar>
              <w:top w:type="dxa" w:w="60"/>
              <w:left w:type="dxa" w:w="160"/>
              <w:bottom w:type="dxa" w:w="60"/>
              <w:right w:type="dxa" w:w="100"/>
            </w:tcMar>
          </w:tcPr>
          <w:p>
            <w:pPr>
              <w:spacing w:after="0" w:before="0" w:line="276"/>
            </w:pPr>
            <w:r>
              <w:rPr>
                <w:rFonts w:ascii="Calibri" w:cs="Calibri" w:eastAsia="Calibri" w:hAnsi="Calibri"/>
                <w:b/>
                <w:bCs/>
                <w:caps/>
                <w:color w:val="036C8F"/>
                <w:sz w:val="16"/>
                <w:szCs w:val="16"/>
              </w:rPr>
              <w:t xml:space="preserve">How it helps</w:t>
            </w:r>
          </w:p>
        </w:tc>
        <w:tc>
          <w:tcPr>
            <w:tcW w:type="dxa" w:w="7160"/>
            <w:tcBorders>
              <w:top w:val="none" w:color="FFFFFF" w:sz="0"/>
              <w:left w:val="none" w:color="FFFFFF" w:sz="0"/>
              <w:bottom w:val="single" w:color="E4EBF3" w:sz="4"/>
              <w:right w:val="none" w:color="FFFFFF" w:sz="0"/>
            </w:tcBorders>
            <w:tcMar>
              <w:top w:type="dxa" w:w="60"/>
              <w:left w:type="dxa" w:w="160"/>
              <w:bottom w:type="dxa" w:w="60"/>
              <w:right w:type="dxa" w:w="160"/>
            </w:tcMar>
          </w:tcPr>
          <w:p>
            <w:pPr>
              <w:spacing w:after="0" w:before="0" w:line="276"/>
            </w:pPr>
            <w:r>
              <w:rPr>
                <w:rFonts w:ascii="Calibri" w:cs="Calibri" w:eastAsia="Calibri" w:hAnsi="Calibri"/>
                <w:color w:val="22344A"/>
                <w:sz w:val="20"/>
                <w:szCs w:val="20"/>
              </w:rPr>
              <w:t xml:space="preserve">Replaces brittle, IP-centric networking models with a Kubernetes-native approach
Improves consistency across dynamic cluster environments
Reduces operational complexity with a more unified networking and policy layer</w:t>
            </w:r>
          </w:p>
        </w:tc>
      </w:tr>
    </w:tbl>
    <w:p>
      <w:pPr>
        <w:spacing w:after="50"/>
      </w:pPr>
      <w:r>
        <w:rPr>
          <w:rFonts w:ascii="Calibri" w:cs="Calibri" w:eastAsia="Calibri" w:hAnsi="Calibri"/>
          <w:color w:val="14263A"/>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0" w:hRule="atLeast"/>
        </w:trPr>
        <w:tc>
          <w:tcPr>
            <w:tcW w:type="dxa" w:w="9360"/>
            <w:tcBorders>
              <w:top w:val="single" w:color="E1E8F1" w:sz="6"/>
              <w:left w:val="single" w:color="E1E8F1" w:sz="6"/>
              <w:bottom w:val="single" w:color="E1E8F1" w:sz="6"/>
              <w:right w:val="single" w:color="E1E8F1" w:sz="6"/>
            </w:tcBorders>
            <w:shd w:fill="F7F9FC" w:color="auto" w:val="clear"/>
            <w:tcMar>
              <w:top w:type="dxa" w:w="120"/>
              <w:left w:type="dxa" w:w="160"/>
              <w:bottom w:type="dxa" w:w="120"/>
              <w:right w:type="dxa" w:w="160"/>
            </w:tcMar>
            <w:vAlign w:val="top"/>
          </w:tcPr>
          <w:p>
            <w:pPr>
              <w:spacing w:after="0"/>
            </w:pPr>
            <w:r>
              <w:rPr>
                <w:rFonts w:ascii="Calibri" w:cs="Calibri" w:eastAsia="Calibri" w:hAnsi="Calibri"/>
                <w:b/>
                <w:bCs/>
                <w:color w:val="0D274D"/>
                <w:sz w:val="17"/>
                <w:szCs w:val="17"/>
              </w:rPr>
              <w:t xml:space="preserve">Level cues:  </w:t>
            </w:r>
            <w:r>
              <w:rPr>
                <w:rFonts w:ascii="Calibri" w:cs="Calibri" w:eastAsia="Calibri" w:hAnsi="Calibri"/>
                <w:b/>
                <w:bCs/>
                <w:color w:val="B4711A"/>
                <w:sz w:val="17"/>
                <w:szCs w:val="17"/>
              </w:rPr>
              <w:t xml:space="preserve">Associate (6–13) </w:t>
            </w:r>
            <w:r>
              <w:rPr>
                <w:rFonts w:ascii="Calibri" w:cs="Calibri" w:eastAsia="Calibri" w:hAnsi="Calibri"/>
                <w:color w:val="46566E"/>
                <w:sz w:val="17"/>
                <w:szCs w:val="17"/>
              </w:rPr>
              <w:t xml:space="preserve">names —, generic.   </w:t>
            </w:r>
            <w:r>
              <w:rPr>
                <w:rFonts w:ascii="Calibri" w:cs="Calibri" w:eastAsia="Calibri" w:hAnsi="Calibri"/>
                <w:b/>
                <w:bCs/>
                <w:color w:val="036C8F"/>
                <w:sz w:val="17"/>
                <w:szCs w:val="17"/>
              </w:rPr>
              <w:t xml:space="preserve">Professional (14–20) </w:t>
            </w:r>
            <w:r>
              <w:rPr>
                <w:rFonts w:ascii="Calibri" w:cs="Calibri" w:eastAsia="Calibri" w:hAnsi="Calibri"/>
                <w:color w:val="46566E"/>
                <w:sz w:val="17"/>
                <w:szCs w:val="17"/>
              </w:rPr>
              <w:t xml:space="preserve">+ how it addresses the concern.   </w:t>
            </w:r>
            <w:r>
              <w:rPr>
                <w:rFonts w:ascii="Calibri" w:cs="Calibri" w:eastAsia="Calibri" w:hAnsi="Calibri"/>
                <w:b/>
                <w:bCs/>
                <w:color w:val="1F8A63"/>
                <w:sz w:val="17"/>
                <w:szCs w:val="17"/>
              </w:rPr>
              <w:t xml:space="preserve">Expert (21–25) </w:t>
            </w:r>
            <w:r>
              <w:rPr>
                <w:rFonts w:ascii="Calibri" w:cs="Calibri" w:eastAsia="Calibri" w:hAnsi="Calibri"/>
                <w:color w:val="46566E"/>
                <w:sz w:val="17"/>
                <w:szCs w:val="17"/>
              </w:rPr>
              <w:t xml:space="preserve">+ Cedarline-specific reasoning &amp; outcome, ties to HMF.</w:t>
            </w:r>
          </w:p>
        </w:tc>
      </w:tr>
    </w:tbl>
    <w:p>
      <w:pPr>
        <w:spacing w:after="160"/>
      </w:pPr>
      <w:r>
        <w:rPr>
          <w:rFonts w:ascii="Calibri" w:cs="Calibri" w:eastAsia="Calibri" w:hAnsi="Calibri"/>
          <w:color w:val="14263A"/>
          <w:sz w:val="2"/>
          <w:szCs w:val="2"/>
        </w:rPr>
        <w:t xml:space="preserve"/>
      </w:r>
    </w:p>
    <w:tbl>
      <w:tblPr>
        <w:tblW w:type="dxa" w:w="9360"/>
        <w:tblBorders>
          <w:top w:val="single" w:color="C4D2E2" w:sz="6"/>
          <w:left w:val="single" w:color="C4D2E2" w:sz="6"/>
          <w:bottom w:val="single" w:color="C4D2E2" w:sz="6"/>
          <w:right w:val="single" w:color="C4D2E2" w:sz="6"/>
          <w:insideH w:val="none" w:color="FFFFFF" w:sz="0"/>
          <w:insideV w:val="none" w:color="FFFFFF" w:sz="0"/>
        </w:tblBorders>
      </w:tblPr>
      <w:tblGrid>
        <w:gridCol w:w="2200"/>
        <w:gridCol w:w="7160"/>
      </w:tblGrid>
      <w:tr>
        <w:tc>
          <w:tcPr>
            <w:tcW w:type="dxa" w:w="9360"/>
            <w:gridSpan w:val="2"/>
            <w:tcBorders>
              <w:top w:val="none" w:color="FFFFFF" w:sz="0"/>
              <w:left w:val="none" w:color="FFFFFF" w:sz="0"/>
              <w:bottom w:val="none" w:color="FFFFFF" w:sz="0"/>
              <w:right w:val="none" w:color="FFFFFF" w:sz="0"/>
            </w:tcBorders>
            <w:shd w:fill="0D274D" w:color="auto" w:val="clear"/>
            <w:tcMar>
              <w:top w:type="dxa" w:w="60"/>
              <w:left w:type="dxa" w:w="160"/>
              <w:bottom w:type="dxa" w:w="60"/>
              <w:right w:type="dxa" w:w="160"/>
            </w:tcMar>
          </w:tcPr>
          <w:p>
            <w:pPr>
              <w:tabs>
                <w:tab w:val="right" w:pos="9100"/>
              </w:tabs>
              <w:spacing w:after="0"/>
            </w:pPr>
            <w:r>
              <w:rPr>
                <w:rFonts w:ascii="Calibri" w:cs="Calibri" w:eastAsia="Calibri" w:hAnsi="Calibri"/>
                <w:b/>
                <w:bCs/>
                <w:color w:val="FFFFFF"/>
                <w:sz w:val="21"/>
                <w:szCs w:val="21"/>
              </w:rPr>
              <w:t xml:space="preserve">Pain Point 3</w:t>
            </w:r>
            <w:r>
              <w:rPr>
                <w:rFonts w:ascii="Calibri" w:cs="Calibri" w:eastAsia="Calibri" w:hAnsi="Calibri"/>
                <w:b/>
                <w:bCs/>
                <w:color w:val="7FE2EF"/>
                <w:sz w:val="18"/>
                <w:szCs w:val="18"/>
              </w:rPr>
              <w:t xml:space="preserve">	25 pts</w:t>
            </w:r>
          </w:p>
        </w:tc>
      </w:tr>
      <w:tr>
        <w:tc>
          <w:tcPr>
            <w:tcW w:type="dxa" w:w="9360"/>
            <w:gridSpan w:val="2"/>
            <w:tcBorders>
              <w:top w:val="none" w:color="FFFFFF" w:sz="0"/>
              <w:left w:val="none" w:color="FFFFFF" w:sz="0"/>
              <w:bottom w:val="single" w:color="E4EBF3" w:sz="4"/>
              <w:right w:val="none" w:color="FFFFFF" w:sz="0"/>
            </w:tcBorders>
            <w:shd w:fill="FBFCFE" w:color="auto" w:val="clear"/>
            <w:tcMar>
              <w:top w:type="dxa" w:w="90"/>
              <w:left w:type="dxa" w:w="160"/>
              <w:bottom w:type="dxa" w:w="90"/>
              <w:right w:type="dxa" w:w="160"/>
            </w:tcMar>
          </w:tcPr>
          <w:p>
            <w:pPr>
              <w:spacing w:after="0" w:before="0" w:line="276"/>
            </w:pPr>
            <w:r>
              <w:rPr>
                <w:rFonts w:ascii="Calibri" w:cs="Calibri" w:eastAsia="Calibri" w:hAnsi="Calibri"/>
                <w:i/>
                <w:iCs/>
                <w:color w:val="22344A"/>
                <w:sz w:val="20"/>
                <w:szCs w:val="20"/>
              </w:rPr>
              <w:t xml:space="preserve">Right now we're stitching together separate tools for networking, security, and observability in Kubernetes, and it's creating too much overhead.</w:t>
            </w:r>
          </w:p>
        </w:tc>
      </w:tr>
      <w:tr>
        <w:tc>
          <w:tcPr>
            <w:tcW w:type="dxa" w:w="2200"/>
            <w:tcBorders>
              <w:top w:val="none" w:color="FFFFFF" w:sz="0"/>
              <w:left w:val="none" w:color="FFFFFF" w:sz="0"/>
              <w:bottom w:val="single" w:color="E4EBF3" w:sz="4"/>
              <w:right w:val="none" w:color="FFFFFF" w:sz="0"/>
            </w:tcBorders>
            <w:shd w:fill="F7F9FC" w:color="auto" w:val="clear"/>
            <w:tcMar>
              <w:top w:type="dxa" w:w="60"/>
              <w:left w:type="dxa" w:w="160"/>
              <w:bottom w:type="dxa" w:w="60"/>
              <w:right w:type="dxa" w:w="100"/>
            </w:tcMar>
          </w:tcPr>
          <w:p>
            <w:pPr>
              <w:spacing w:after="0" w:before="0" w:line="276"/>
            </w:pPr>
            <w:r>
              <w:rPr>
                <w:rFonts w:ascii="Calibri" w:cs="Calibri" w:eastAsia="Calibri" w:hAnsi="Calibri"/>
                <w:b/>
                <w:bCs/>
                <w:caps/>
                <w:color w:val="036C8F"/>
                <w:sz w:val="16"/>
                <w:szCs w:val="16"/>
              </w:rPr>
              <w:t xml:space="preserve">Product / Platform</w:t>
            </w:r>
          </w:p>
        </w:tc>
        <w:tc>
          <w:tcPr>
            <w:tcW w:type="dxa" w:w="7160"/>
            <w:tcBorders>
              <w:top w:val="none" w:color="FFFFFF" w:sz="0"/>
              <w:left w:val="none" w:color="FFFFFF" w:sz="0"/>
              <w:bottom w:val="single" w:color="E4EBF3" w:sz="4"/>
              <w:right w:val="none" w:color="FFFFFF" w:sz="0"/>
            </w:tcBorders>
            <w:tcMar>
              <w:top w:type="dxa" w:w="60"/>
              <w:left w:type="dxa" w:w="160"/>
              <w:bottom w:type="dxa" w:w="60"/>
              <w:right w:type="dxa" w:w="160"/>
            </w:tcMar>
          </w:tcPr>
          <w:p>
            <w:pPr>
              <w:spacing w:after="0" w:before="0" w:line="276"/>
            </w:pPr>
            <w:r>
              <w:rPr>
                <w:rFonts w:ascii="Calibri" w:cs="Calibri" w:eastAsia="Calibri" w:hAnsi="Calibri"/>
                <w:b/>
                <w:bCs/>
                <w:color w:val="036C8F"/>
                <w:sz w:val="20"/>
                <w:szCs w:val="20"/>
              </w:rPr>
              <w:t xml:space="preserve">cilium and tetragon</w:t>
            </w:r>
            <w:r>
              <w:rPr>
                <w:rFonts w:ascii="Calibri" w:cs="Calibri" w:eastAsia="Calibri" w:hAnsi="Calibri"/>
                <w:color w:val="7E8CA1"/>
                <w:sz w:val="18"/>
                <w:szCs w:val="18"/>
              </w:rPr>
              <w:t xml:space="preserve"/>
            </w:r>
          </w:p>
        </w:tc>
      </w:tr>
      <w:tr>
        <w:tc>
          <w:tcPr>
            <w:tcW w:type="dxa" w:w="2200"/>
            <w:tcBorders>
              <w:top w:val="none" w:color="FFFFFF" w:sz="0"/>
              <w:left w:val="none" w:color="FFFFFF" w:sz="0"/>
              <w:bottom w:val="single" w:color="E4EBF3" w:sz="4"/>
              <w:right w:val="none" w:color="FFFFFF" w:sz="0"/>
            </w:tcBorders>
            <w:shd w:fill="F7F9FC" w:color="auto" w:val="clear"/>
            <w:tcMar>
              <w:top w:type="dxa" w:w="60"/>
              <w:left w:type="dxa" w:w="160"/>
              <w:bottom w:type="dxa" w:w="60"/>
              <w:right w:type="dxa" w:w="100"/>
            </w:tcMar>
          </w:tcPr>
          <w:p>
            <w:pPr>
              <w:spacing w:after="0" w:before="0" w:line="276"/>
            </w:pPr>
            <w:r>
              <w:rPr>
                <w:rFonts w:ascii="Calibri" w:cs="Calibri" w:eastAsia="Calibri" w:hAnsi="Calibri"/>
                <w:b/>
                <w:bCs/>
                <w:caps/>
                <w:color w:val="036C8F"/>
                <w:sz w:val="16"/>
                <w:szCs w:val="16"/>
              </w:rPr>
              <w:t xml:space="preserve">Model SE response</w:t>
            </w:r>
          </w:p>
        </w:tc>
        <w:tc>
          <w:tcPr>
            <w:tcW w:type="dxa" w:w="7160"/>
            <w:tcBorders>
              <w:top w:val="none" w:color="FFFFFF" w:sz="0"/>
              <w:left w:val="none" w:color="FFFFFF" w:sz="0"/>
              <w:bottom w:val="single" w:color="E4EBF3" w:sz="4"/>
              <w:right w:val="none" w:color="FFFFFF" w:sz="0"/>
            </w:tcBorders>
            <w:tcMar>
              <w:top w:type="dxa" w:w="60"/>
              <w:left w:type="dxa" w:w="160"/>
              <w:bottom w:type="dxa" w:w="60"/>
              <w:right w:type="dxa" w:w="160"/>
            </w:tcMar>
          </w:tcPr>
          <w:p>
            <w:pPr>
              <w:spacing w:after="0" w:before="0" w:line="276"/>
            </w:pPr>
            <w:r>
              <w:rPr>
                <w:rFonts w:ascii="Calibri" w:cs="Calibri" w:eastAsia="Calibri" w:hAnsi="Calibri"/>
                <w:color w:val="22344A"/>
                <w:sz w:val="20"/>
                <w:szCs w:val="20"/>
              </w:rPr>
              <w:t xml:space="preserve">That's exactly the consolidation opportunity Isovalent addresses. With Cilium for networking and policy, and Tetragon for runtime security, you get a more unified platform for connectivity, segmentation, observability, and security. This helps reduce tool sprawl and gives platform and security teams a more integrated operating model.</w:t>
            </w:r>
          </w:p>
        </w:tc>
      </w:tr>
      <w:tr>
        <w:tc>
          <w:tcPr>
            <w:tcW w:type="dxa" w:w="2200"/>
            <w:tcBorders>
              <w:top w:val="none" w:color="FFFFFF" w:sz="0"/>
              <w:left w:val="none" w:color="FFFFFF" w:sz="0"/>
              <w:bottom w:val="single" w:color="E4EBF3" w:sz="4"/>
              <w:right w:val="none" w:color="FFFFFF" w:sz="0"/>
            </w:tcBorders>
            <w:shd w:fill="F7F9FC" w:color="auto" w:val="clear"/>
            <w:tcMar>
              <w:top w:type="dxa" w:w="60"/>
              <w:left w:type="dxa" w:w="160"/>
              <w:bottom w:type="dxa" w:w="60"/>
              <w:right w:type="dxa" w:w="100"/>
            </w:tcMar>
          </w:tcPr>
          <w:p>
            <w:pPr>
              <w:spacing w:after="0" w:before="0" w:line="276"/>
            </w:pPr>
            <w:r>
              <w:rPr>
                <w:rFonts w:ascii="Calibri" w:cs="Calibri" w:eastAsia="Calibri" w:hAnsi="Calibri"/>
                <w:b/>
                <w:bCs/>
                <w:caps/>
                <w:color w:val="036C8F"/>
                <w:sz w:val="16"/>
                <w:szCs w:val="16"/>
              </w:rPr>
              <w:t xml:space="preserve">How it helps</w:t>
            </w:r>
          </w:p>
        </w:tc>
        <w:tc>
          <w:tcPr>
            <w:tcW w:type="dxa" w:w="7160"/>
            <w:tcBorders>
              <w:top w:val="none" w:color="FFFFFF" w:sz="0"/>
              <w:left w:val="none" w:color="FFFFFF" w:sz="0"/>
              <w:bottom w:val="single" w:color="E4EBF3" w:sz="4"/>
              <w:right w:val="none" w:color="FFFFFF" w:sz="0"/>
            </w:tcBorders>
            <w:tcMar>
              <w:top w:type="dxa" w:w="60"/>
              <w:left w:type="dxa" w:w="160"/>
              <w:bottom w:type="dxa" w:w="60"/>
              <w:right w:type="dxa" w:w="160"/>
            </w:tcMar>
          </w:tcPr>
          <w:p>
            <w:pPr>
              <w:spacing w:after="0" w:before="0" w:line="276"/>
            </w:pPr>
            <w:r>
              <w:rPr>
                <w:rFonts w:ascii="Calibri" w:cs="Calibri" w:eastAsia="Calibri" w:hAnsi="Calibri"/>
                <w:color w:val="22344A"/>
                <w:sz w:val="20"/>
                <w:szCs w:val="20"/>
              </w:rPr>
              <w:t xml:space="preserve">Consolidates multiple functions into one platform approach
Reduces tool sprawl and operational friction
Improves context sharing between networking, security, and operations teams</w:t>
            </w:r>
          </w:p>
        </w:tc>
      </w:tr>
    </w:tbl>
    <w:p>
      <w:pPr>
        <w:spacing w:after="50"/>
      </w:pPr>
      <w:r>
        <w:rPr>
          <w:rFonts w:ascii="Calibri" w:cs="Calibri" w:eastAsia="Calibri" w:hAnsi="Calibri"/>
          <w:color w:val="14263A"/>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0" w:hRule="atLeast"/>
        </w:trPr>
        <w:tc>
          <w:tcPr>
            <w:tcW w:type="dxa" w:w="9360"/>
            <w:tcBorders>
              <w:top w:val="single" w:color="E1E8F1" w:sz="6"/>
              <w:left w:val="single" w:color="E1E8F1" w:sz="6"/>
              <w:bottom w:val="single" w:color="E1E8F1" w:sz="6"/>
              <w:right w:val="single" w:color="E1E8F1" w:sz="6"/>
            </w:tcBorders>
            <w:shd w:fill="F7F9FC" w:color="auto" w:val="clear"/>
            <w:tcMar>
              <w:top w:type="dxa" w:w="120"/>
              <w:left w:type="dxa" w:w="160"/>
              <w:bottom w:type="dxa" w:w="120"/>
              <w:right w:type="dxa" w:w="160"/>
            </w:tcMar>
            <w:vAlign w:val="top"/>
          </w:tcPr>
          <w:p>
            <w:pPr>
              <w:spacing w:after="0"/>
            </w:pPr>
            <w:r>
              <w:rPr>
                <w:rFonts w:ascii="Calibri" w:cs="Calibri" w:eastAsia="Calibri" w:hAnsi="Calibri"/>
                <w:b/>
                <w:bCs/>
                <w:color w:val="0D274D"/>
                <w:sz w:val="17"/>
                <w:szCs w:val="17"/>
              </w:rPr>
              <w:t xml:space="preserve">Level cues:  </w:t>
            </w:r>
            <w:r>
              <w:rPr>
                <w:rFonts w:ascii="Calibri" w:cs="Calibri" w:eastAsia="Calibri" w:hAnsi="Calibri"/>
                <w:b/>
                <w:bCs/>
                <w:color w:val="B4711A"/>
                <w:sz w:val="17"/>
                <w:szCs w:val="17"/>
              </w:rPr>
              <w:t xml:space="preserve">Associate (6–13) </w:t>
            </w:r>
            <w:r>
              <w:rPr>
                <w:rFonts w:ascii="Calibri" w:cs="Calibri" w:eastAsia="Calibri" w:hAnsi="Calibri"/>
                <w:color w:val="46566E"/>
                <w:sz w:val="17"/>
                <w:szCs w:val="17"/>
              </w:rPr>
              <w:t xml:space="preserve">names cilium and tetragon, generic.   </w:t>
            </w:r>
            <w:r>
              <w:rPr>
                <w:rFonts w:ascii="Calibri" w:cs="Calibri" w:eastAsia="Calibri" w:hAnsi="Calibri"/>
                <w:b/>
                <w:bCs/>
                <w:color w:val="036C8F"/>
                <w:sz w:val="17"/>
                <w:szCs w:val="17"/>
              </w:rPr>
              <w:t xml:space="preserve">Professional (14–20) </w:t>
            </w:r>
            <w:r>
              <w:rPr>
                <w:rFonts w:ascii="Calibri" w:cs="Calibri" w:eastAsia="Calibri" w:hAnsi="Calibri"/>
                <w:color w:val="46566E"/>
                <w:sz w:val="17"/>
                <w:szCs w:val="17"/>
              </w:rPr>
              <w:t xml:space="preserve">+ how it addresses the concern.   </w:t>
            </w:r>
            <w:r>
              <w:rPr>
                <w:rFonts w:ascii="Calibri" w:cs="Calibri" w:eastAsia="Calibri" w:hAnsi="Calibri"/>
                <w:b/>
                <w:bCs/>
                <w:color w:val="1F8A63"/>
                <w:sz w:val="17"/>
                <w:szCs w:val="17"/>
              </w:rPr>
              <w:t xml:space="preserve">Expert (21–25) </w:t>
            </w:r>
            <w:r>
              <w:rPr>
                <w:rFonts w:ascii="Calibri" w:cs="Calibri" w:eastAsia="Calibri" w:hAnsi="Calibri"/>
                <w:color w:val="46566E"/>
                <w:sz w:val="17"/>
                <w:szCs w:val="17"/>
              </w:rPr>
              <w:t xml:space="preserve">+ Cedarline-specific reasoning &amp; outcome, ties to HMF.</w:t>
            </w:r>
          </w:p>
        </w:tc>
      </w:tr>
    </w:tbl>
    <w:p>
      <w:pPr>
        <w:spacing w:after="160"/>
      </w:pPr>
      <w:r>
        <w:rPr>
          <w:rFonts w:ascii="Calibri" w:cs="Calibri" w:eastAsia="Calibri" w:hAnsi="Calibri"/>
          <w:color w:val="14263A"/>
          <w:sz w:val="2"/>
          <w:szCs w:val="2"/>
        </w:rPr>
        <w:t xml:space="preserve"/>
      </w:r>
    </w:p>
    <w:tbl>
      <w:tblPr>
        <w:tblW w:type="dxa" w:w="9360"/>
        <w:tblBorders>
          <w:top w:val="single" w:color="C4D2E2" w:sz="6"/>
          <w:left w:val="single" w:color="C4D2E2" w:sz="6"/>
          <w:bottom w:val="single" w:color="C4D2E2" w:sz="6"/>
          <w:right w:val="single" w:color="C4D2E2" w:sz="6"/>
          <w:insideH w:val="none" w:color="FFFFFF" w:sz="0"/>
          <w:insideV w:val="none" w:color="FFFFFF" w:sz="0"/>
        </w:tblBorders>
      </w:tblPr>
      <w:tblGrid>
        <w:gridCol w:w="2200"/>
        <w:gridCol w:w="7160"/>
      </w:tblGrid>
      <w:tr>
        <w:tc>
          <w:tcPr>
            <w:tcW w:type="dxa" w:w="9360"/>
            <w:gridSpan w:val="2"/>
            <w:tcBorders>
              <w:top w:val="none" w:color="FFFFFF" w:sz="0"/>
              <w:left w:val="none" w:color="FFFFFF" w:sz="0"/>
              <w:bottom w:val="none" w:color="FFFFFF" w:sz="0"/>
              <w:right w:val="none" w:color="FFFFFF" w:sz="0"/>
            </w:tcBorders>
            <w:shd w:fill="0D274D" w:color="auto" w:val="clear"/>
            <w:tcMar>
              <w:top w:type="dxa" w:w="60"/>
              <w:left w:type="dxa" w:w="160"/>
              <w:bottom w:type="dxa" w:w="60"/>
              <w:right w:type="dxa" w:w="160"/>
            </w:tcMar>
          </w:tcPr>
          <w:p>
            <w:pPr>
              <w:tabs>
                <w:tab w:val="right" w:pos="9100"/>
              </w:tabs>
              <w:spacing w:after="0"/>
            </w:pPr>
            <w:r>
              <w:rPr>
                <w:rFonts w:ascii="Calibri" w:cs="Calibri" w:eastAsia="Calibri" w:hAnsi="Calibri"/>
                <w:b/>
                <w:bCs/>
                <w:color w:val="FFFFFF"/>
                <w:sz w:val="21"/>
                <w:szCs w:val="21"/>
              </w:rPr>
              <w:t xml:space="preserve">Pain Point 4</w:t>
            </w:r>
            <w:r>
              <w:rPr>
                <w:rFonts w:ascii="Calibri" w:cs="Calibri" w:eastAsia="Calibri" w:hAnsi="Calibri"/>
                <w:b/>
                <w:bCs/>
                <w:color w:val="7FE2EF"/>
                <w:sz w:val="18"/>
                <w:szCs w:val="18"/>
              </w:rPr>
              <w:t xml:space="preserve">	25 pts</w:t>
            </w:r>
          </w:p>
        </w:tc>
      </w:tr>
      <w:tr>
        <w:tc>
          <w:tcPr>
            <w:tcW w:type="dxa" w:w="9360"/>
            <w:gridSpan w:val="2"/>
            <w:tcBorders>
              <w:top w:val="none" w:color="FFFFFF" w:sz="0"/>
              <w:left w:val="none" w:color="FFFFFF" w:sz="0"/>
              <w:bottom w:val="single" w:color="E4EBF3" w:sz="4"/>
              <w:right w:val="none" w:color="FFFFFF" w:sz="0"/>
            </w:tcBorders>
            <w:shd w:fill="FBFCFE" w:color="auto" w:val="clear"/>
            <w:tcMar>
              <w:top w:type="dxa" w:w="90"/>
              <w:left w:type="dxa" w:w="160"/>
              <w:bottom w:type="dxa" w:w="90"/>
              <w:right w:type="dxa" w:w="160"/>
            </w:tcMar>
          </w:tcPr>
          <w:p>
            <w:pPr>
              <w:spacing w:after="0" w:before="0" w:line="276"/>
            </w:pPr>
            <w:r>
              <w:rPr>
                <w:rFonts w:ascii="Calibri" w:cs="Calibri" w:eastAsia="Calibri" w:hAnsi="Calibri"/>
                <w:i/>
                <w:iCs/>
                <w:color w:val="22344A"/>
                <w:sz w:val="20"/>
                <w:szCs w:val="20"/>
              </w:rPr>
              <w:t xml:space="preserve">We know we need microsegmentation, but we don't have enough visibility into east-west flows or application dependencies to create policy safely. We don't want to break the application.</w:t>
            </w:r>
          </w:p>
        </w:tc>
      </w:tr>
      <w:tr>
        <w:tc>
          <w:tcPr>
            <w:tcW w:type="dxa" w:w="2200"/>
            <w:tcBorders>
              <w:top w:val="none" w:color="FFFFFF" w:sz="0"/>
              <w:left w:val="none" w:color="FFFFFF" w:sz="0"/>
              <w:bottom w:val="single" w:color="E4EBF3" w:sz="4"/>
              <w:right w:val="none" w:color="FFFFFF" w:sz="0"/>
            </w:tcBorders>
            <w:shd w:fill="F7F9FC" w:color="auto" w:val="clear"/>
            <w:tcMar>
              <w:top w:type="dxa" w:w="60"/>
              <w:left w:type="dxa" w:w="160"/>
              <w:bottom w:type="dxa" w:w="60"/>
              <w:right w:type="dxa" w:w="100"/>
            </w:tcMar>
          </w:tcPr>
          <w:p>
            <w:pPr>
              <w:spacing w:after="0" w:before="0" w:line="276"/>
            </w:pPr>
            <w:r>
              <w:rPr>
                <w:rFonts w:ascii="Calibri" w:cs="Calibri" w:eastAsia="Calibri" w:hAnsi="Calibri"/>
                <w:b/>
                <w:bCs/>
                <w:caps/>
                <w:color w:val="036C8F"/>
                <w:sz w:val="16"/>
                <w:szCs w:val="16"/>
              </w:rPr>
              <w:t xml:space="preserve">Product / Platform</w:t>
            </w:r>
          </w:p>
        </w:tc>
        <w:tc>
          <w:tcPr>
            <w:tcW w:type="dxa" w:w="7160"/>
            <w:tcBorders>
              <w:top w:val="none" w:color="FFFFFF" w:sz="0"/>
              <w:left w:val="none" w:color="FFFFFF" w:sz="0"/>
              <w:bottom w:val="single" w:color="E4EBF3" w:sz="4"/>
              <w:right w:val="none" w:color="FFFFFF" w:sz="0"/>
            </w:tcBorders>
            <w:tcMar>
              <w:top w:type="dxa" w:w="60"/>
              <w:left w:type="dxa" w:w="160"/>
              <w:bottom w:type="dxa" w:w="60"/>
              <w:right w:type="dxa" w:w="160"/>
            </w:tcMar>
          </w:tcPr>
          <w:p>
            <w:pPr>
              <w:spacing w:after="0" w:before="0" w:line="276"/>
            </w:pPr>
            <w:r>
              <w:rPr>
                <w:rFonts w:ascii="Calibri" w:cs="Calibri" w:eastAsia="Calibri" w:hAnsi="Calibri"/>
                <w:b/>
                <w:bCs/>
                <w:color w:val="036C8F"/>
                <w:sz w:val="20"/>
                <w:szCs w:val="20"/>
              </w:rPr>
              <w:t xml:space="preserve">Cisco Secure Workload
Cisco Secure Firewall</w:t>
            </w:r>
            <w:r>
              <w:rPr>
                <w:rFonts w:ascii="Calibri" w:cs="Calibri" w:eastAsia="Calibri" w:hAnsi="Calibri"/>
                <w:color w:val="7E8CA1"/>
                <w:sz w:val="18"/>
                <w:szCs w:val="18"/>
              </w:rPr>
              <w:t xml:space="preserve">  · Application dependency mapping</w:t>
            </w:r>
          </w:p>
        </w:tc>
      </w:tr>
      <w:tr>
        <w:tc>
          <w:tcPr>
            <w:tcW w:type="dxa" w:w="2200"/>
            <w:tcBorders>
              <w:top w:val="none" w:color="FFFFFF" w:sz="0"/>
              <w:left w:val="none" w:color="FFFFFF" w:sz="0"/>
              <w:bottom w:val="single" w:color="E4EBF3" w:sz="4"/>
              <w:right w:val="none" w:color="FFFFFF" w:sz="0"/>
            </w:tcBorders>
            <w:shd w:fill="F7F9FC" w:color="auto" w:val="clear"/>
            <w:tcMar>
              <w:top w:type="dxa" w:w="60"/>
              <w:left w:type="dxa" w:w="160"/>
              <w:bottom w:type="dxa" w:w="60"/>
              <w:right w:type="dxa" w:w="100"/>
            </w:tcMar>
          </w:tcPr>
          <w:p>
            <w:pPr>
              <w:spacing w:after="0" w:before="0" w:line="276"/>
            </w:pPr>
            <w:r>
              <w:rPr>
                <w:rFonts w:ascii="Calibri" w:cs="Calibri" w:eastAsia="Calibri" w:hAnsi="Calibri"/>
                <w:b/>
                <w:bCs/>
                <w:caps/>
                <w:color w:val="036C8F"/>
                <w:sz w:val="16"/>
                <w:szCs w:val="16"/>
              </w:rPr>
              <w:t xml:space="preserve">Model SE response</w:t>
            </w:r>
          </w:p>
        </w:tc>
        <w:tc>
          <w:tcPr>
            <w:tcW w:type="dxa" w:w="7160"/>
            <w:tcBorders>
              <w:top w:val="none" w:color="FFFFFF" w:sz="0"/>
              <w:left w:val="none" w:color="FFFFFF" w:sz="0"/>
              <w:bottom w:val="single" w:color="E4EBF3" w:sz="4"/>
              <w:right w:val="none" w:color="FFFFFF" w:sz="0"/>
            </w:tcBorders>
            <w:tcMar>
              <w:top w:type="dxa" w:w="60"/>
              <w:left w:type="dxa" w:w="160"/>
              <w:bottom w:type="dxa" w:w="60"/>
              <w:right w:type="dxa" w:w="160"/>
            </w:tcMar>
          </w:tcPr>
          <w:p>
            <w:pPr>
              <w:spacing w:after="0" w:before="0" w:line="276"/>
            </w:pPr>
            <w:r>
              <w:rPr>
                <w:rFonts w:ascii="Calibri" w:cs="Calibri" w:eastAsia="Calibri" w:hAnsi="Calibri"/>
                <w:color w:val="22344A"/>
                <w:sz w:val="20"/>
                <w:szCs w:val="20"/>
              </w:rPr>
              <w:t xml:space="preserve">That's one of the biggest reasons customers adopt Cisco Secure Workload. It gives you deep visibility into workload communication and application dependency mapping, so you can see how applications actually behave before enforcing policy.
That visibility helps you build segmentation policy with much more confidence, reduce guesswork, and move toward microsegmentation in a controlled way.</w:t>
            </w:r>
          </w:p>
        </w:tc>
      </w:tr>
      <w:tr>
        <w:tc>
          <w:tcPr>
            <w:tcW w:type="dxa" w:w="2200"/>
            <w:tcBorders>
              <w:top w:val="none" w:color="FFFFFF" w:sz="0"/>
              <w:left w:val="none" w:color="FFFFFF" w:sz="0"/>
              <w:bottom w:val="single" w:color="E4EBF3" w:sz="4"/>
              <w:right w:val="none" w:color="FFFFFF" w:sz="0"/>
            </w:tcBorders>
            <w:shd w:fill="F7F9FC" w:color="auto" w:val="clear"/>
            <w:tcMar>
              <w:top w:type="dxa" w:w="60"/>
              <w:left w:type="dxa" w:w="160"/>
              <w:bottom w:type="dxa" w:w="60"/>
              <w:right w:type="dxa" w:w="100"/>
            </w:tcMar>
          </w:tcPr>
          <w:p>
            <w:pPr>
              <w:spacing w:after="0" w:before="0" w:line="276"/>
            </w:pPr>
            <w:r>
              <w:rPr>
                <w:rFonts w:ascii="Calibri" w:cs="Calibri" w:eastAsia="Calibri" w:hAnsi="Calibri"/>
                <w:b/>
                <w:bCs/>
                <w:caps/>
                <w:color w:val="036C8F"/>
                <w:sz w:val="16"/>
                <w:szCs w:val="16"/>
              </w:rPr>
              <w:t xml:space="preserve">How it helps</w:t>
            </w:r>
          </w:p>
        </w:tc>
        <w:tc>
          <w:tcPr>
            <w:tcW w:type="dxa" w:w="7160"/>
            <w:tcBorders>
              <w:top w:val="none" w:color="FFFFFF" w:sz="0"/>
              <w:left w:val="none" w:color="FFFFFF" w:sz="0"/>
              <w:bottom w:val="single" w:color="E4EBF3" w:sz="4"/>
              <w:right w:val="none" w:color="FFFFFF" w:sz="0"/>
            </w:tcBorders>
            <w:tcMar>
              <w:top w:type="dxa" w:w="60"/>
              <w:left w:type="dxa" w:w="160"/>
              <w:bottom w:type="dxa" w:w="60"/>
              <w:right w:type="dxa" w:w="160"/>
            </w:tcMar>
          </w:tcPr>
          <w:p>
            <w:pPr>
              <w:spacing w:after="0" w:before="0" w:line="276"/>
            </w:pPr>
            <w:r>
              <w:rPr>
                <w:rFonts w:ascii="Calibri" w:cs="Calibri" w:eastAsia="Calibri" w:hAnsi="Calibri"/>
                <w:color w:val="22344A"/>
                <w:sz w:val="20"/>
                <w:szCs w:val="20"/>
              </w:rPr>
              <w:t xml:space="preserve">Reveals actual application communication paths
Reduces the risk of segmentation causing outages
Enables more precise policy design and staged enforcement</w:t>
            </w:r>
          </w:p>
        </w:tc>
      </w:tr>
    </w:tbl>
    <w:p>
      <w:pPr>
        <w:spacing w:after="50"/>
      </w:pPr>
      <w:r>
        <w:rPr>
          <w:rFonts w:ascii="Calibri" w:cs="Calibri" w:eastAsia="Calibri" w:hAnsi="Calibri"/>
          <w:color w:val="14263A"/>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0" w:hRule="atLeast"/>
        </w:trPr>
        <w:tc>
          <w:tcPr>
            <w:tcW w:type="dxa" w:w="9360"/>
            <w:tcBorders>
              <w:top w:val="single" w:color="E1E8F1" w:sz="6"/>
              <w:left w:val="single" w:color="E1E8F1" w:sz="6"/>
              <w:bottom w:val="single" w:color="E1E8F1" w:sz="6"/>
              <w:right w:val="single" w:color="E1E8F1" w:sz="6"/>
            </w:tcBorders>
            <w:shd w:fill="F7F9FC" w:color="auto" w:val="clear"/>
            <w:tcMar>
              <w:top w:type="dxa" w:w="120"/>
              <w:left w:type="dxa" w:w="160"/>
              <w:bottom w:type="dxa" w:w="120"/>
              <w:right w:type="dxa" w:w="160"/>
            </w:tcMar>
            <w:vAlign w:val="top"/>
          </w:tcPr>
          <w:p>
            <w:pPr>
              <w:spacing w:after="0"/>
            </w:pPr>
            <w:r>
              <w:rPr>
                <w:rFonts w:ascii="Calibri" w:cs="Calibri" w:eastAsia="Calibri" w:hAnsi="Calibri"/>
                <w:b/>
                <w:bCs/>
                <w:color w:val="0D274D"/>
                <w:sz w:val="17"/>
                <w:szCs w:val="17"/>
              </w:rPr>
              <w:t xml:space="preserve">Level cues:  </w:t>
            </w:r>
            <w:r>
              <w:rPr>
                <w:rFonts w:ascii="Calibri" w:cs="Calibri" w:eastAsia="Calibri" w:hAnsi="Calibri"/>
                <w:b/>
                <w:bCs/>
                <w:color w:val="B4711A"/>
                <w:sz w:val="17"/>
                <w:szCs w:val="17"/>
              </w:rPr>
              <w:t xml:space="preserve">Associate (6–13) </w:t>
            </w:r>
            <w:r>
              <w:rPr>
                <w:rFonts w:ascii="Calibri" w:cs="Calibri" w:eastAsia="Calibri" w:hAnsi="Calibri"/>
                <w:color w:val="46566E"/>
                <w:sz w:val="17"/>
                <w:szCs w:val="17"/>
              </w:rPr>
              <w:t xml:space="preserve">names Cisco Secure Workload Cisco Secure Firew…, generic.   </w:t>
            </w:r>
            <w:r>
              <w:rPr>
                <w:rFonts w:ascii="Calibri" w:cs="Calibri" w:eastAsia="Calibri" w:hAnsi="Calibri"/>
                <w:b/>
                <w:bCs/>
                <w:color w:val="036C8F"/>
                <w:sz w:val="17"/>
                <w:szCs w:val="17"/>
              </w:rPr>
              <w:t xml:space="preserve">Professional (14–20) </w:t>
            </w:r>
            <w:r>
              <w:rPr>
                <w:rFonts w:ascii="Calibri" w:cs="Calibri" w:eastAsia="Calibri" w:hAnsi="Calibri"/>
                <w:color w:val="46566E"/>
                <w:sz w:val="17"/>
                <w:szCs w:val="17"/>
              </w:rPr>
              <w:t xml:space="preserve">+ how it addresses the concern.   </w:t>
            </w:r>
            <w:r>
              <w:rPr>
                <w:rFonts w:ascii="Calibri" w:cs="Calibri" w:eastAsia="Calibri" w:hAnsi="Calibri"/>
                <w:b/>
                <w:bCs/>
                <w:color w:val="1F8A63"/>
                <w:sz w:val="17"/>
                <w:szCs w:val="17"/>
              </w:rPr>
              <w:t xml:space="preserve">Expert (21–25) </w:t>
            </w:r>
            <w:r>
              <w:rPr>
                <w:rFonts w:ascii="Calibri" w:cs="Calibri" w:eastAsia="Calibri" w:hAnsi="Calibri"/>
                <w:color w:val="46566E"/>
                <w:sz w:val="17"/>
                <w:szCs w:val="17"/>
              </w:rPr>
              <w:t xml:space="preserve">+ Cedarline-specific reasoning &amp; outcome, ties to HMF.</w:t>
            </w:r>
          </w:p>
        </w:tc>
      </w:tr>
    </w:tbl>
    <w:p>
      <w:pPr>
        <w:spacing w:after="160"/>
      </w:pPr>
      <w:r>
        <w:rPr>
          <w:rFonts w:ascii="Calibri" w:cs="Calibri" w:eastAsia="Calibri" w:hAnsi="Calibri"/>
          <w:color w:val="14263A"/>
          <w:sz w:val="2"/>
          <w:szCs w:val="2"/>
        </w:rPr>
        <w:t xml:space="preserve"/>
      </w:r>
    </w:p>
    <w:p>
      <w:pPr>
        <w:pageBreakBefore/>
        <w:spacing w:after="0" w:before="0" w:line="276"/>
      </w:pPr>
    </w:p>
    <w:p>
      <w:pPr>
        <w:spacing w:after="40" w:before="0" w:line="276"/>
      </w:pPr>
      <w:r>
        <w:rPr>
          <w:rFonts w:ascii="Calibri" w:cs="Calibri" w:eastAsia="Calibri" w:hAnsi="Calibri"/>
          <w:b/>
          <w:bCs/>
          <w:caps/>
          <w:color w:val="036C8F"/>
          <w:sz w:val="16"/>
          <w:szCs w:val="16"/>
        </w:rPr>
        <w:t xml:space="preserve">Recording scores</w:t>
      </w:r>
    </w:p>
    <w:p>
      <w:pPr>
        <w:pBdr>
          <w:bottom w:val="single" w:color="00BCEB" w:sz="18"/>
        </w:pBdr>
        <w:spacing w:after="120"/>
      </w:pPr>
      <w:r>
        <w:rPr>
          <w:rFonts w:ascii="Calibri" w:cs="Calibri" w:eastAsia="Calibri" w:hAnsi="Calibri"/>
          <w:color w:val="14263A"/>
          <w:sz w:val="2"/>
          <w:szCs w:val="2"/>
        </w:rPr>
        <w:t xml:space="preserve"/>
      </w:r>
    </w:p>
    <w:p>
      <w:pPr>
        <w:spacing w:after="80" w:before="0" w:line="276"/>
      </w:pPr>
      <w:r>
        <w:rPr>
          <w:rFonts w:ascii="Calibri" w:cs="Calibri" w:eastAsia="Calibri" w:hAnsi="Calibri"/>
          <w:b/>
          <w:bCs/>
          <w:color w:val="0D274D"/>
          <w:sz w:val="30"/>
          <w:szCs w:val="30"/>
        </w:rPr>
        <w:t xml:space="preserve">Turning answers into a level</w:t>
      </w:r>
    </w:p>
    <w:p>
      <w:pPr>
        <w:spacing w:after="120" w:before="0" w:line="276"/>
      </w:pPr>
      <w:r>
        <w:rPr>
          <w:rFonts w:ascii="Calibri" w:cs="Calibri" w:eastAsia="Calibri" w:hAnsi="Calibri"/>
          <w:color w:val="3A4C63"/>
          <w:sz w:val="22"/>
          <w:szCs w:val="22"/>
        </w:rPr>
        <w:t xml:space="preserve">Use the Level cues under each pain point with the master rubric from “Grading at a glance” to place every answer, then total the four pain points for the Case Study score and level.</w:t>
      </w:r>
    </w:p>
    <w:tbl>
      <w:tblPr>
        <w:tblW w:type="dxa" w:w="9360"/>
        <w:tblBorders>
          <w:top w:val="single" w:color="C4D2E2" w:sz="6"/>
          <w:left w:val="single" w:color="C4D2E2" w:sz="6"/>
          <w:bottom w:val="single" w:color="C4D2E2" w:sz="6"/>
          <w:right w:val="single" w:color="C4D2E2" w:sz="6"/>
          <w:insideH w:val="none" w:color="FFFFFF" w:sz="0"/>
          <w:insideV w:val="none" w:color="FFFFFF" w:sz="0"/>
        </w:tblBorders>
      </w:tblPr>
      <w:tblGrid>
        <w:gridCol w:w="1600"/>
        <w:gridCol w:w="6940"/>
        <w:gridCol w:w="820"/>
      </w:tblGrid>
      <w:tr>
        <w:trPr>
          <w:tblHeader/>
        </w:trPr>
        <w:tc>
          <w:tcPr>
            <w:tcW w:type="dxa" w:w="1600"/>
            <w:tcBorders>
              <w:top w:val="none" w:color="FFFFFF" w:sz="0"/>
              <w:left w:val="none" w:color="FFFFFF" w:sz="0"/>
              <w:bottom w:val="none" w:color="FFFFFF" w:sz="0"/>
              <w:right w:val="none" w:color="FFFFFF" w:sz="0"/>
            </w:tcBorders>
            <w:shd w:fill="0D274D" w:color="auto" w:val="clear"/>
            <w:tcMar>
              <w:top w:type="dxa" w:w="70"/>
              <w:left w:type="dxa" w:w="140"/>
              <w:bottom w:type="dxa" w:w="70"/>
              <w:right w:type="dxa" w:w="120"/>
            </w:tcMar>
          </w:tcPr>
          <w:p>
            <w:pPr>
              <w:spacing w:after="0" w:before="0" w:line="276"/>
            </w:pPr>
            <w:r>
              <w:rPr>
                <w:rFonts w:ascii="Calibri" w:cs="Calibri" w:eastAsia="Calibri" w:hAnsi="Calibri"/>
                <w:b/>
                <w:bCs/>
                <w:caps/>
                <w:color w:val="FFFFFF"/>
                <w:sz w:val="14"/>
                <w:szCs w:val="14"/>
              </w:rPr>
              <w:t xml:space="preserve">Level</w:t>
            </w:r>
          </w:p>
        </w:tc>
        <w:tc>
          <w:tcPr>
            <w:tcW w:type="dxa" w:w="6940"/>
            <w:tcBorders>
              <w:top w:val="none" w:color="FFFFFF" w:sz="0"/>
              <w:left w:val="none" w:color="FFFFFF" w:sz="0"/>
              <w:bottom w:val="none" w:color="FFFFFF" w:sz="0"/>
              <w:right w:val="none" w:color="FFFFFF" w:sz="0"/>
            </w:tcBorders>
            <w:shd w:fill="0D274D" w:color="auto" w:val="clear"/>
            <w:tcMar>
              <w:top w:type="dxa" w:w="70"/>
              <w:left w:type="dxa" w:w="140"/>
              <w:bottom w:type="dxa" w:w="70"/>
              <w:right w:type="dxa" w:w="120"/>
            </w:tcMar>
          </w:tcPr>
          <w:p>
            <w:pPr>
              <w:spacing w:after="0" w:before="0" w:line="276"/>
            </w:pPr>
            <w:r>
              <w:rPr>
                <w:rFonts w:ascii="Calibri" w:cs="Calibri" w:eastAsia="Calibri" w:hAnsi="Calibri"/>
                <w:b/>
                <w:bCs/>
                <w:caps/>
                <w:color w:val="FFFFFF"/>
                <w:sz w:val="14"/>
                <w:szCs w:val="14"/>
              </w:rPr>
              <w:t xml:space="preserve">What the answer demonstrates</w:t>
            </w:r>
          </w:p>
        </w:tc>
        <w:tc>
          <w:tcPr>
            <w:tcW w:type="dxa" w:w="820"/>
            <w:tcBorders>
              <w:top w:val="none" w:color="FFFFFF" w:sz="0"/>
              <w:left w:val="none" w:color="FFFFFF" w:sz="0"/>
              <w:bottom w:val="none" w:color="FFFFFF" w:sz="0"/>
              <w:right w:val="none" w:color="FFFFFF" w:sz="0"/>
            </w:tcBorders>
            <w:shd w:fill="0D274D" w:color="auto" w:val="clear"/>
            <w:tcMar>
              <w:top w:type="dxa" w:w="70"/>
              <w:left w:type="dxa" w:w="140"/>
              <w:bottom w:type="dxa" w:w="70"/>
              <w:right w:type="dxa" w:w="120"/>
            </w:tcMar>
          </w:tcPr>
          <w:p>
            <w:pPr>
              <w:spacing w:after="0" w:before="0" w:line="276"/>
            </w:pPr>
            <w:r>
              <w:rPr>
                <w:rFonts w:ascii="Calibri" w:cs="Calibri" w:eastAsia="Calibri" w:hAnsi="Calibri"/>
                <w:b/>
                <w:bCs/>
                <w:caps/>
                <w:color w:val="FFFFFF"/>
                <w:sz w:val="14"/>
                <w:szCs w:val="14"/>
              </w:rPr>
              <w:t xml:space="preserve">Points</w:t>
            </w:r>
          </w:p>
        </w:tc>
      </w:tr>
      <w:tr>
        <w:tc>
          <w:tcPr>
            <w:tcW w:type="dxa" w:w="1600"/>
            <w:tcBorders>
              <w:top w:val="single" w:color="E4EBF3" w:sz="4"/>
              <w:left w:val="single" w:color="27A276" w:sz="44"/>
              <w:bottom w:val="none" w:color="FFFFFF" w:sz="0"/>
              <w:right w:val="none" w:color="FFFFFF" w:sz="0"/>
            </w:tcBorders>
            <w:tcMar>
              <w:top w:type="dxa" w:w="80"/>
              <w:left w:type="dxa" w:w="140"/>
              <w:bottom w:type="dxa" w:w="80"/>
              <w:right w:type="dxa" w:w="100"/>
            </w:tcMar>
          </w:tcPr>
          <w:p>
            <w:pPr>
              <w:spacing w:after="0" w:before="0" w:line="276"/>
            </w:pPr>
            <w:r>
              <w:rPr>
                <w:rFonts w:ascii="Calibri" w:cs="Calibri" w:eastAsia="Calibri" w:hAnsi="Calibri"/>
                <w:b/>
                <w:bCs/>
                <w:color w:val="1F8A63"/>
                <w:sz w:val="19"/>
                <w:szCs w:val="19"/>
              </w:rPr>
              <w:t xml:space="preserve">Expert</w:t>
            </w:r>
          </w:p>
        </w:tc>
        <w:tc>
          <w:tcPr>
            <w:tcW w:type="dxa" w:w="6940"/>
            <w:tcBorders>
              <w:top w:val="single" w:color="E4EBF3" w:sz="4"/>
              <w:left w:val="none" w:color="FFFFFF" w:sz="0"/>
              <w:bottom w:val="none" w:color="FFFFFF" w:sz="0"/>
              <w:right w:val="none" w:color="FFFFFF" w:sz="0"/>
            </w:tcBorders>
            <w:tcMar>
              <w:top w:type="dxa" w:w="80"/>
              <w:left w:type="dxa" w:w="140"/>
              <w:bottom w:type="dxa" w:w="80"/>
              <w:right w:type="dxa" w:w="140"/>
            </w:tcMar>
          </w:tcPr>
          <w:p>
            <w:pPr>
              <w:spacing w:after="0" w:before="0" w:line="276"/>
            </w:pPr>
            <w:r>
              <w:rPr>
                <w:rFonts w:ascii="Calibri" w:cs="Calibri" w:eastAsia="Calibri" w:hAnsi="Calibri"/>
                <w:color w:val="2A3C52"/>
                <w:sz w:val="18"/>
                <w:szCs w:val="18"/>
              </w:rPr>
              <w:t xml:space="preserve">Correct product and capability; reasoning specific to Cedarline's constraints; states the outcome / how it helps; ties into the wider HMF design.</w:t>
            </w:r>
          </w:p>
        </w:tc>
        <w:tc>
          <w:tcPr>
            <w:tcW w:type="dxa" w:w="820"/>
            <w:tcBorders>
              <w:top w:val="single" w:color="E4EBF3" w:sz="4"/>
              <w:left w:val="none" w:color="FFFFFF" w:sz="0"/>
              <w:bottom w:val="none" w:color="FFFFFF" w:sz="0"/>
              <w:right w:val="none" w:color="FFFFFF" w:sz="0"/>
            </w:tcBorders>
            <w:tcMar>
              <w:top w:type="dxa" w:w="80"/>
              <w:left w:type="dxa" w:w="100"/>
              <w:bottom w:type="dxa" w:w="80"/>
              <w:right w:type="dxa" w:w="120"/>
            </w:tcMar>
          </w:tcPr>
          <w:p>
            <w:pPr>
              <w:spacing w:after="0" w:before="0" w:line="276"/>
            </w:pPr>
            <w:r>
              <w:rPr>
                <w:rFonts w:ascii="Calibri" w:cs="Calibri" w:eastAsia="Calibri" w:hAnsi="Calibri"/>
                <w:b/>
                <w:bCs/>
                <w:color w:val="1F8A63"/>
                <w:sz w:val="18"/>
                <w:szCs w:val="18"/>
              </w:rPr>
              <w:t xml:space="preserve">21–25</w:t>
            </w:r>
          </w:p>
        </w:tc>
      </w:tr>
      <w:tr>
        <w:tc>
          <w:tcPr>
            <w:tcW w:type="dxa" w:w="1600"/>
            <w:tcBorders>
              <w:top w:val="single" w:color="E4EBF3" w:sz="4"/>
              <w:left w:val="single" w:color="00BCEB" w:sz="44"/>
              <w:bottom w:val="none" w:color="FFFFFF" w:sz="0"/>
              <w:right w:val="none" w:color="FFFFFF" w:sz="0"/>
            </w:tcBorders>
            <w:tcMar>
              <w:top w:type="dxa" w:w="80"/>
              <w:left w:type="dxa" w:w="140"/>
              <w:bottom w:type="dxa" w:w="80"/>
              <w:right w:type="dxa" w:w="100"/>
            </w:tcMar>
          </w:tcPr>
          <w:p>
            <w:pPr>
              <w:spacing w:after="0" w:before="0" w:line="276"/>
            </w:pPr>
            <w:r>
              <w:rPr>
                <w:rFonts w:ascii="Calibri" w:cs="Calibri" w:eastAsia="Calibri" w:hAnsi="Calibri"/>
                <w:b/>
                <w:bCs/>
                <w:color w:val="036C8F"/>
                <w:sz w:val="19"/>
                <w:szCs w:val="19"/>
              </w:rPr>
              <w:t xml:space="preserve">Professional</w:t>
            </w:r>
          </w:p>
        </w:tc>
        <w:tc>
          <w:tcPr>
            <w:tcW w:type="dxa" w:w="6940"/>
            <w:tcBorders>
              <w:top w:val="single" w:color="E4EBF3" w:sz="4"/>
              <w:left w:val="none" w:color="FFFFFF" w:sz="0"/>
              <w:bottom w:val="none" w:color="FFFFFF" w:sz="0"/>
              <w:right w:val="none" w:color="FFFFFF" w:sz="0"/>
            </w:tcBorders>
            <w:tcMar>
              <w:top w:type="dxa" w:w="80"/>
              <w:left w:type="dxa" w:w="140"/>
              <w:bottom w:type="dxa" w:w="80"/>
              <w:right w:type="dxa" w:w="140"/>
            </w:tcMar>
          </w:tcPr>
          <w:p>
            <w:pPr>
              <w:spacing w:after="0" w:before="0" w:line="276"/>
            </w:pPr>
            <w:r>
              <w:rPr>
                <w:rFonts w:ascii="Calibri" w:cs="Calibri" w:eastAsia="Calibri" w:hAnsi="Calibri"/>
                <w:color w:val="2A3C52"/>
                <w:sz w:val="18"/>
                <w:szCs w:val="18"/>
              </w:rPr>
              <w:t xml:space="preserve">Correct product; explains how it addresses the concern with sound Cisco Secure / HMF reasoning; some Cedarline context.</w:t>
            </w:r>
          </w:p>
        </w:tc>
        <w:tc>
          <w:tcPr>
            <w:tcW w:type="dxa" w:w="820"/>
            <w:tcBorders>
              <w:top w:val="single" w:color="E4EBF3" w:sz="4"/>
              <w:left w:val="none" w:color="FFFFFF" w:sz="0"/>
              <w:bottom w:val="none" w:color="FFFFFF" w:sz="0"/>
              <w:right w:val="none" w:color="FFFFFF" w:sz="0"/>
            </w:tcBorders>
            <w:tcMar>
              <w:top w:type="dxa" w:w="80"/>
              <w:left w:type="dxa" w:w="100"/>
              <w:bottom w:type="dxa" w:w="80"/>
              <w:right w:type="dxa" w:w="120"/>
            </w:tcMar>
          </w:tcPr>
          <w:p>
            <w:pPr>
              <w:spacing w:after="0" w:before="0" w:line="276"/>
            </w:pPr>
            <w:r>
              <w:rPr>
                <w:rFonts w:ascii="Calibri" w:cs="Calibri" w:eastAsia="Calibri" w:hAnsi="Calibri"/>
                <w:b/>
                <w:bCs/>
                <w:color w:val="036C8F"/>
                <w:sz w:val="18"/>
                <w:szCs w:val="18"/>
              </w:rPr>
              <w:t xml:space="preserve">14–20</w:t>
            </w:r>
          </w:p>
        </w:tc>
      </w:tr>
      <w:tr>
        <w:tc>
          <w:tcPr>
            <w:tcW w:type="dxa" w:w="1600"/>
            <w:tcBorders>
              <w:top w:val="single" w:color="E4EBF3" w:sz="4"/>
              <w:left w:val="single" w:color="E2891F" w:sz="44"/>
              <w:bottom w:val="none" w:color="FFFFFF" w:sz="0"/>
              <w:right w:val="none" w:color="FFFFFF" w:sz="0"/>
            </w:tcBorders>
            <w:tcMar>
              <w:top w:type="dxa" w:w="80"/>
              <w:left w:type="dxa" w:w="140"/>
              <w:bottom w:type="dxa" w:w="80"/>
              <w:right w:type="dxa" w:w="100"/>
            </w:tcMar>
          </w:tcPr>
          <w:p>
            <w:pPr>
              <w:spacing w:after="0" w:before="0" w:line="276"/>
            </w:pPr>
            <w:r>
              <w:rPr>
                <w:rFonts w:ascii="Calibri" w:cs="Calibri" w:eastAsia="Calibri" w:hAnsi="Calibri"/>
                <w:b/>
                <w:bCs/>
                <w:color w:val="B4711A"/>
                <w:sz w:val="19"/>
                <w:szCs w:val="19"/>
              </w:rPr>
              <w:t xml:space="preserve">Associate</w:t>
            </w:r>
          </w:p>
        </w:tc>
        <w:tc>
          <w:tcPr>
            <w:tcW w:type="dxa" w:w="6940"/>
            <w:tcBorders>
              <w:top w:val="single" w:color="E4EBF3" w:sz="4"/>
              <w:left w:val="none" w:color="FFFFFF" w:sz="0"/>
              <w:bottom w:val="none" w:color="FFFFFF" w:sz="0"/>
              <w:right w:val="none" w:color="FFFFFF" w:sz="0"/>
            </w:tcBorders>
            <w:tcMar>
              <w:top w:type="dxa" w:w="80"/>
              <w:left w:type="dxa" w:w="140"/>
              <w:bottom w:type="dxa" w:w="80"/>
              <w:right w:type="dxa" w:w="140"/>
            </w:tcMar>
          </w:tcPr>
          <w:p>
            <w:pPr>
              <w:spacing w:after="0" w:before="0" w:line="276"/>
            </w:pPr>
            <w:r>
              <w:rPr>
                <w:rFonts w:ascii="Calibri" w:cs="Calibri" w:eastAsia="Calibri" w:hAnsi="Calibri"/>
                <w:color w:val="2A3C52"/>
                <w:sz w:val="18"/>
                <w:szCs w:val="18"/>
              </w:rPr>
              <w:t xml:space="preserve">Plausible product; identifies the problem, but reasoning is generic, partial, or product-name-only.</w:t>
            </w:r>
          </w:p>
        </w:tc>
        <w:tc>
          <w:tcPr>
            <w:tcW w:type="dxa" w:w="820"/>
            <w:tcBorders>
              <w:top w:val="single" w:color="E4EBF3" w:sz="4"/>
              <w:left w:val="none" w:color="FFFFFF" w:sz="0"/>
              <w:bottom w:val="none" w:color="FFFFFF" w:sz="0"/>
              <w:right w:val="none" w:color="FFFFFF" w:sz="0"/>
            </w:tcBorders>
            <w:tcMar>
              <w:top w:type="dxa" w:w="80"/>
              <w:left w:type="dxa" w:w="100"/>
              <w:bottom w:type="dxa" w:w="80"/>
              <w:right w:type="dxa" w:w="120"/>
            </w:tcMar>
          </w:tcPr>
          <w:p>
            <w:pPr>
              <w:spacing w:after="0" w:before="0" w:line="276"/>
            </w:pPr>
            <w:r>
              <w:rPr>
                <w:rFonts w:ascii="Calibri" w:cs="Calibri" w:eastAsia="Calibri" w:hAnsi="Calibri"/>
                <w:b/>
                <w:bCs/>
                <w:color w:val="B4711A"/>
                <w:sz w:val="18"/>
                <w:szCs w:val="18"/>
              </w:rPr>
              <w:t xml:space="preserve">6–13</w:t>
            </w:r>
          </w:p>
        </w:tc>
      </w:tr>
      <w:tr>
        <w:tc>
          <w:tcPr>
            <w:tcW w:type="dxa" w:w="1600"/>
            <w:tcBorders>
              <w:top w:val="single" w:color="E4EBF3" w:sz="4"/>
              <w:left w:val="single" w:color="B9C4D2" w:sz="44"/>
              <w:bottom w:val="none" w:color="FFFFFF" w:sz="0"/>
              <w:right w:val="none" w:color="FFFFFF" w:sz="0"/>
            </w:tcBorders>
            <w:tcMar>
              <w:top w:type="dxa" w:w="80"/>
              <w:left w:type="dxa" w:w="140"/>
              <w:bottom w:type="dxa" w:w="80"/>
              <w:right w:type="dxa" w:w="100"/>
            </w:tcMar>
          </w:tcPr>
          <w:p>
            <w:pPr>
              <w:spacing w:after="0" w:before="0" w:line="276"/>
            </w:pPr>
            <w:r>
              <w:rPr>
                <w:rFonts w:ascii="Calibri" w:cs="Calibri" w:eastAsia="Calibri" w:hAnsi="Calibri"/>
                <w:b/>
                <w:bCs/>
                <w:color w:val="7E8CA1"/>
                <w:sz w:val="19"/>
                <w:szCs w:val="19"/>
              </w:rPr>
              <w:t xml:space="preserve">Not yet</w:t>
            </w:r>
          </w:p>
        </w:tc>
        <w:tc>
          <w:tcPr>
            <w:tcW w:type="dxa" w:w="6940"/>
            <w:tcBorders>
              <w:top w:val="single" w:color="E4EBF3" w:sz="4"/>
              <w:left w:val="none" w:color="FFFFFF" w:sz="0"/>
              <w:bottom w:val="none" w:color="FFFFFF" w:sz="0"/>
              <w:right w:val="none" w:color="FFFFFF" w:sz="0"/>
            </w:tcBorders>
            <w:tcMar>
              <w:top w:type="dxa" w:w="80"/>
              <w:left w:type="dxa" w:w="140"/>
              <w:bottom w:type="dxa" w:w="80"/>
              <w:right w:type="dxa" w:w="140"/>
            </w:tcMar>
          </w:tcPr>
          <w:p>
            <w:pPr>
              <w:spacing w:after="0" w:before="0" w:line="276"/>
            </w:pPr>
            <w:r>
              <w:rPr>
                <w:rFonts w:ascii="Calibri" w:cs="Calibri" w:eastAsia="Calibri" w:hAnsi="Calibri"/>
                <w:color w:val="2A3C52"/>
                <w:sz w:val="18"/>
                <w:szCs w:val="18"/>
              </w:rPr>
              <w:t xml:space="preserve">Blank, off-topic, or a wrong product with no reasoning.</w:t>
            </w:r>
          </w:p>
        </w:tc>
        <w:tc>
          <w:tcPr>
            <w:tcW w:type="dxa" w:w="820"/>
            <w:tcBorders>
              <w:top w:val="single" w:color="E4EBF3" w:sz="4"/>
              <w:left w:val="none" w:color="FFFFFF" w:sz="0"/>
              <w:bottom w:val="none" w:color="FFFFFF" w:sz="0"/>
              <w:right w:val="none" w:color="FFFFFF" w:sz="0"/>
            </w:tcBorders>
            <w:tcMar>
              <w:top w:type="dxa" w:w="80"/>
              <w:left w:type="dxa" w:w="100"/>
              <w:bottom w:type="dxa" w:w="80"/>
              <w:right w:type="dxa" w:w="120"/>
            </w:tcMar>
          </w:tcPr>
          <w:p>
            <w:pPr>
              <w:spacing w:after="0" w:before="0" w:line="276"/>
            </w:pPr>
            <w:r>
              <w:rPr>
                <w:rFonts w:ascii="Calibri" w:cs="Calibri" w:eastAsia="Calibri" w:hAnsi="Calibri"/>
                <w:b/>
                <w:bCs/>
                <w:color w:val="7E8CA1"/>
                <w:sz w:val="18"/>
                <w:szCs w:val="18"/>
              </w:rPr>
              <w:t xml:space="preserve">0–5</w:t>
            </w:r>
          </w:p>
        </w:tc>
      </w:tr>
    </w:tbl>
    <w:p>
      <w:pPr>
        <w:spacing w:after="140"/>
      </w:pPr>
      <w:r>
        <w:rPr>
          <w:rFonts w:ascii="Calibri" w:cs="Calibri" w:eastAsia="Calibri" w:hAnsi="Calibri"/>
          <w:color w:val="14263A"/>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0" w:hRule="atLeast"/>
        </w:trPr>
        <w:tc>
          <w:tcPr>
            <w:tcW w:type="dxa" w:w="9360"/>
            <w:tcBorders>
              <w:top w:val="single" w:color="DCE6F1" w:sz="6"/>
              <w:left w:val="single" w:color="DCE6F1" w:sz="6"/>
              <w:bottom w:val="single" w:color="DCE6F1" w:sz="6"/>
              <w:right w:val="single" w:color="DCE6F1" w:sz="6"/>
            </w:tcBorders>
            <w:shd w:fill="F3F7FB" w:color="auto" w:val="clear"/>
            <w:tcMar>
              <w:top w:type="dxa" w:w="120"/>
              <w:left w:type="dxa" w:w="160"/>
              <w:bottom w:type="dxa" w:w="120"/>
              <w:right w:type="dxa" w:w="160"/>
            </w:tcMar>
            <w:vAlign w:val="top"/>
          </w:tcPr>
          <w:p>
            <w:pPr>
              <w:spacing w:after="0" w:before="0" w:line="276"/>
            </w:pPr>
            <w:r>
              <w:rPr>
                <w:rFonts w:ascii="Calibri" w:cs="Calibri" w:eastAsia="Calibri" w:hAnsi="Calibri"/>
                <w:b/>
                <w:bCs/>
                <w:color w:val="0D274D"/>
                <w:sz w:val="21"/>
                <w:szCs w:val="21"/>
              </w:rPr>
              <w:t xml:space="preserve">Case Study /100: </w:t>
            </w:r>
            <w:r>
              <w:rPr>
                <w:rFonts w:ascii="Calibri" w:cs="Calibri" w:eastAsia="Calibri" w:hAnsi="Calibri"/>
                <w:color w:val="33465F"/>
                <w:sz w:val="21"/>
                <w:szCs w:val="21"/>
              </w:rPr>
              <w:t xml:space="preserve">Associate 40–64 · Professional 65–84 · Expert 85–100 (Developing &lt;40).   </w:t>
            </w:r>
            <w:r>
              <w:rPr>
                <w:rFonts w:ascii="Calibri" w:cs="Calibri" w:eastAsia="Calibri" w:hAnsi="Calibri"/>
                <w:b/>
                <w:bCs/>
                <w:color w:val="0D274D"/>
                <w:sz w:val="21"/>
                <w:szCs w:val="21"/>
              </w:rPr>
              <w:t xml:space="preserve">Overall /400: </w:t>
            </w:r>
            <w:r>
              <w:rPr>
                <w:rFonts w:ascii="Calibri" w:cs="Calibri" w:eastAsia="Calibri" w:hAnsi="Calibri"/>
                <w:color w:val="33465F"/>
                <w:sz w:val="21"/>
                <w:szCs w:val="21"/>
              </w:rPr>
              <w:t xml:space="preserve">Associate 160–259 · Professional 260–339 · Expert 340–400 (Developing &lt;160).</w:t>
            </w:r>
          </w:p>
        </w:tc>
      </w:tr>
    </w:tbl>
    <w:p>
      <w:pPr>
        <w:spacing w:after="80"/>
      </w:pPr>
      <w:r>
        <w:rPr>
          <w:rFonts w:ascii="Calibri" w:cs="Calibri" w:eastAsia="Calibri" w:hAnsi="Calibri"/>
          <w:color w:val="14263A"/>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0" w:hRule="atLeast"/>
        </w:trPr>
        <w:tc>
          <w:tcPr>
            <w:tcW w:type="dxa" w:w="9360"/>
            <w:tcBorders>
              <w:top w:val="single" w:color="B7E6F3" w:sz="6"/>
              <w:left w:val="single" w:color="B7E6F3" w:sz="6"/>
              <w:bottom w:val="single" w:color="B7E6F3" w:sz="6"/>
              <w:right w:val="single" w:color="B7E6F3" w:sz="6"/>
            </w:tcBorders>
            <w:shd w:fill="F7FCFE" w:color="auto" w:val="clear"/>
            <w:tcMar>
              <w:top w:type="dxa" w:w="120"/>
              <w:left w:type="dxa" w:w="160"/>
              <w:bottom w:type="dxa" w:w="120"/>
              <w:right w:type="dxa" w:w="160"/>
            </w:tcMar>
            <w:vAlign w:val="top"/>
          </w:tcPr>
          <w:p>
            <w:pPr>
              <w:spacing w:after="0" w:before="0" w:line="276"/>
            </w:pPr>
            <w:r>
              <w:rPr>
                <w:rFonts w:ascii="Calibri" w:cs="Calibri" w:eastAsia="Calibri" w:hAnsi="Calibri"/>
                <w:b/>
                <w:bCs/>
                <w:color w:val="0D274D"/>
                <w:sz w:val="21"/>
                <w:szCs w:val="21"/>
              </w:rPr>
              <w:t xml:space="preserve">For a printable grading worksheet </w:t>
            </w:r>
            <w:r>
              <w:rPr>
                <w:rFonts w:ascii="Calibri" w:cs="Calibri" w:eastAsia="Calibri" w:hAnsi="Calibri"/>
                <w:color w:val="33465F"/>
                <w:sz w:val="21"/>
                <w:szCs w:val="21"/>
              </w:rPr>
              <w:t xml:space="preserve">with per-pain-point score lines and “did well / improve” feedback boxes, use the HMF Proctor Grading Guide in this package.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2026-07-29T03:29:51.933Z</dcterms:created>
  <dcterms:modified xsi:type="dcterms:W3CDTF">2026-07-29T03:29:51.933Z</dcterms:modified>
</cp:coreProperties>
</file>

<file path=docProps/custom.xml><?xml version="1.0" encoding="utf-8"?>
<Properties xmlns="http://schemas.openxmlformats.org/officeDocument/2006/custom-properties" xmlns:vt="http://schemas.openxmlformats.org/officeDocument/2006/docPropsVTypes"/>
</file>