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 cumulative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Overall grade, out of 400</w:t>
      </w:r>
    </w:p>
    <w:p>
      <w:pPr>
        <w:spacing w:after="60" w:before="0" w:line="276"/>
      </w:pPr>
      <w:r>
        <w:rPr>
          <w:rFonts w:ascii="Calibri" w:cs="Calibri" w:eastAsia="Calibri" w:hAnsi="Calibri"/>
          <w:color w:val="3A4C63"/>
          <w:sz w:val="20"/>
          <w:szCs w:val="20"/>
        </w:rPr>
        <w:t xml:space="preserve">Give the team their overall result as one of these three encouraging categories. Every category is positive; it names where the team is strong and what to build next.</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400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Advanced</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300 to 400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Standout work. Across the four case studies the team read the requirements precisely, designed fitting Hybrid Mesh Firewall solutions, and told a clear Cedarline value story.</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Established</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200 to 299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Strong, consistent work. The team matched the right solutions across most pain points and communicated real value, with a few answers to sharpen.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Foundational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up to 199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 solid foundation to build on. The team engaged every case study and found real products; the next step is naming the requirement and the outcome more precisely.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its category,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20" w:line="276"/>
      </w:pPr>
      <w:r>
        <w:rPr>
          <w:rFonts w:ascii="Calibri" w:cs="Calibri" w:eastAsia="Calibri" w:hAnsi="Calibri"/>
          <w:b/>
          <w:bCs/>
          <w:color w:val="0D274D"/>
          <w:sz w:val="30"/>
          <w:szCs w:val="30"/>
        </w:rPr>
        <w:t xml:space="preserve">A completed score sheet</w:t>
      </w:r>
      <w:r>
        <w:rPr>
          <w:rFonts w:ascii="Calibri" w:cs="Calibri" w:eastAsia="Calibri" w:hAnsi="Calibri"/>
          <w:b/>
          <w:bCs/>
          <w:caps/>
          <w:color w:val="155C43"/>
          <w:sz w:val="14"/>
          <w:szCs w:val="14"/>
        </w:rPr>
        <w:t xml:space="preserve">    EXAMPLE</w:t>
      </w:r>
    </w:p>
    <w:p>
      <w:pPr>
        <w:spacing w:after="120" w:before="0" w:line="276"/>
      </w:pPr>
      <w:r>
        <w:rPr>
          <w:rFonts w:ascii="Calibri" w:cs="Calibri" w:eastAsia="Calibri" w:hAnsi="Calibri"/>
          <w:color w:val="3A4C63"/>
          <w:sz w:val="21"/>
          <w:szCs w:val="21"/>
        </w:rPr>
        <w:t xml:space="preserve">This is the Proctor evaluation page from the back of the Workbook, filled in for an example team, so you can see how to record the scores and feedback before you hand the result back.</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b/>
          <w:bCs/>
          <w:color w:val="036C8F"/>
          <w:sz w:val="21"/>
          <w:szCs w:val="21"/>
        </w:rPr>
        <w:t xml:space="preserve">Blue Team       </w:t>
      </w:r>
      <w:r>
        <w:rPr>
          <w:rFonts w:ascii="Calibri" w:cs="Calibri" w:eastAsia="Calibri" w:hAnsi="Calibri"/>
          <w:b/>
          <w:bCs/>
          <w:color w:val="0D274D"/>
          <w:sz w:val="21"/>
          <w:szCs w:val="21"/>
        </w:rPr>
        <w:t xml:space="preserve">Members (up to 8)  </w:t>
      </w:r>
      <w:r>
        <w:rPr>
          <w:rFonts w:ascii="Calibri" w:cs="Calibri" w:eastAsia="Calibri" w:hAnsi="Calibri"/>
          <w:b/>
          <w:bCs/>
          <w:color w:val="036C8F"/>
          <w:sz w:val="21"/>
          <w:szCs w:val="21"/>
        </w:rPr>
        <w:t xml:space="preserve">8 present       </w:t>
      </w:r>
      <w:r>
        <w:rPr>
          <w:rFonts w:ascii="Calibri" w:cs="Calibri" w:eastAsia="Calibri" w:hAnsi="Calibri"/>
          <w:b/>
          <w:bCs/>
          <w:color w:val="0D274D"/>
          <w:sz w:val="21"/>
          <w:szCs w:val="21"/>
        </w:rPr>
        <w:t xml:space="preserve">Date  </w:t>
      </w:r>
      <w:r>
        <w:rPr>
          <w:rFonts w:ascii="Calibri" w:cs="Calibri" w:eastAsia="Calibri" w:hAnsi="Calibri"/>
          <w:b/>
          <w:bCs/>
          <w:color w:val="036C8F"/>
          <w:sz w:val="21"/>
          <w:szCs w:val="21"/>
        </w:rPr>
        <w:t xml:space="preserve">12 May</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66</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Right products throughout and strong on AI Defense. Tighten the Article 15 requirement and state the concrete outcomes.</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78</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Excellent multicloud segmentation and a clear audit story. One pain point was light on the single, unified policy model.</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72</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Good automated containment with ISE. The encrypted-traffic answer needed EVE rather than blanket decryption.</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64</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Solid Kubernetes segmentation. Dependency mapping before enforcement was implied rather than stated.</w:t>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b/>
                <w:bCs/>
                <w:color w:val="0B6670"/>
                <w:sz w:val="20"/>
                <w:szCs w:val="20"/>
              </w:rPr>
              <w:t xml:space="preserve">280</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b/>
          <w:bCs/>
          <w:color w:val="0B6670"/>
          <w:sz w:val="21"/>
          <w:szCs w:val="21"/>
        </w:rPr>
        <w:t xml:space="preserve">Established     </w:t>
      </w:r>
      <w:r>
        <w:rPr>
          <w:rFonts w:ascii="Calibri" w:cs="Calibri" w:eastAsia="Calibri" w:hAnsi="Calibri"/>
          <w:color w:val="7E8CA1"/>
          <w:sz w:val="16"/>
          <w:szCs w:val="16"/>
        </w:rPr>
        <w:t xml:space="preserve">(Advanced 300 to 400;  Established 200 to 299;  Foundational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b/>
                <w:bCs/>
                <w:color w:val="0B6670"/>
                <w:sz w:val="19"/>
                <w:szCs w:val="19"/>
              </w:rPr>
              <w:t xml:space="preserve">[x]</w:t>
            </w:r>
            <w:r>
              <w:rPr>
                <w:rFonts w:ascii="Calibri" w:cs="Calibri" w:eastAsia="Calibri" w:hAnsi="Calibri"/>
                <w:color w:val="33465F"/>
                <w:sz w:val="19"/>
                <w:szCs w:val="19"/>
              </w:rPr>
              <w:t xml:space="preserve">   No </w:t>
            </w:r>
            <w:r>
              <w:rPr>
                <w:rFonts w:ascii="Calibri" w:cs="Calibri" w:eastAsia="Calibri" w:hAnsi="Calibri"/>
                <w:color w:val="9AA8BC"/>
                <w:sz w:val="19"/>
                <w:szCs w:val="19"/>
              </w:rPr>
              <w:t xml:space="preserve">[  ]</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i/>
                <w:iCs/>
                <w:color w:val="0B4A5E"/>
                <w:sz w:val="19"/>
                <w:szCs w:val="19"/>
              </w:rPr>
              <w:t xml:space="preserve">Consistently named the right Cisco products and tied them to Cedarline's estate. Customer-ready value stories in Case Studies 2 and 3.</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i/>
                <w:iCs/>
                <w:color w:val="0B4A5E"/>
                <w:sz w:val="19"/>
                <w:szCs w:val="19"/>
              </w:rPr>
              <w:t xml:space="preserve">Name the underlying requirement before reaching for the product, and always close with the concrete Cedarline outcome.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That is the whole flow.  </w:t>
            </w:r>
            <w:r>
              <w:rPr>
                <w:rFonts w:ascii="Calibri" w:cs="Calibri" w:eastAsia="Calibri" w:hAnsi="Calibri"/>
                <w:color w:val="33465F"/>
                <w:sz w:val="20"/>
                <w:szCs w:val="20"/>
              </w:rPr>
              <w:t xml:space="preserve">Grade every pain point on the rubric, total each case study, then fill in this page inside the team's Workbook exactly like the example above, and hand it back as their result and feedback.</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2026-08-04T01:26:12.012Z</dcterms:created>
  <dcterms:modified xsi:type="dcterms:W3CDTF">2026-08-04T01:26:12.012Z</dcterms:modified>
</cp:coreProperties>
</file>

<file path=docProps/custom.xml><?xml version="1.0" encoding="utf-8"?>
<Properties xmlns="http://schemas.openxmlformats.org/officeDocument/2006/custom-properties" xmlns:vt="http://schemas.openxmlformats.org/officeDocument/2006/docPropsVTypes"/>
</file>