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0"/>
          <w:szCs w:val="40"/>
        </w:rPr>
        <w:t xml:space="preserve">HMF Design Clinic Rubric Sheet</w:t>
      </w:r>
    </w:p>
    <w:p>
      <w:pPr>
        <w:spacing w:after="60" w:before="0" w:line="276"/>
      </w:pPr>
      <w:r>
        <w:rPr>
          <w:rFonts w:ascii="Calibri" w:cs="Calibri" w:eastAsia="Calibri" w:hAnsi="Calibri"/>
          <w:color w:val="3A4C63"/>
          <w:sz w:val="22"/>
          <w:szCs w:val="22"/>
        </w:rPr>
        <w:t xml:space="preserve">A one-page rubric to keep beside you while you evaluate a team's Workbook. Detach and use it with the Grading Guide.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How the score is built.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Grade every pain point on the three dimensions: Problem Identifier out of 5, Solution Designer out of 10, and Value Communicator out of 10, for 25 per pain point. Four pain points make a case study score out of 100, and the four case studies make a cumulative score out of 400.</w:t>
            </w:r>
          </w:p>
        </w:tc>
      </w:tr>
    </w:tbl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The rubric, by dimension</w:t>
      </w:r>
    </w:p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4A3AA8"/>
          <w:sz w:val="23"/>
          <w:szCs w:val="23"/>
        </w:rPr>
        <w:t xml:space="preserve">Problem Identifier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5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identify the real requirement behind the concern?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Pinpoints the underlying requirement or constraint behind the concern, the specific regulation, risk, or operational need, in Cedarline's own context, not just the surface ask.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Identifies the concern and part of the underlying requirement, but misses some nuance or a constraint.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 to 2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Restates the concern in general terms without naming the requirement behind it.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Misreads the concern, addresses the wrong problem, or leaves it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0B6670"/>
          <w:sz w:val="23"/>
          <w:szCs w:val="23"/>
        </w:rPr>
        <w:t xml:space="preserve">Solution Designer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recommend the right Cisco solution and an approach that fits?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Cisco product or platform and the specific capability, with an architecture or approach that fits Cedarline and the wider Hybrid Mesh Firewall design.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product but is light on the capability, the architecture, or how it fits Cedarline.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Partly right: a loosely related product, or a product named with no approach or capability.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Wrong product, a generic firewall with no specifics, or left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9A6516"/>
          <w:sz w:val="23"/>
          <w:szCs w:val="23"/>
        </w:rPr>
        <w:t xml:space="preserve">Value Communicator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explain how it works and the outcome for Cedarline?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clearly how the solution works and states the concrete Cedarline outcome, in language the customer would understand.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how it works but is thin on the outcome, or states an outcome without explaining how.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Vague or generic: asserts it helps without explaining how or naming a specific outcome.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No explanation and no outcome, or left blank.</w:t>
            </w:r>
          </w:p>
        </w:tc>
      </w:tr>
    </w:tbl>
    <w:p>
      <w:pPr>
        <w:pageBreakBefore/>
        <w:spacing w:after="0" w:before="0" w:line="276"/>
      </w:pP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Rubric sheet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From score to grade</w:t>
      </w:r>
    </w:p>
    <w:p>
      <w:pPr>
        <w:spacing w:after="8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Use these bands to sense-check the totals, then share the overall grade with the team as one of the three positive categories.</w:t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Pain point, out of 25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22 to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All three dimensions strong: the requirement, the right solution and approach, and a clear how and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16 to 21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there, with one dimension light or a gap in the approach or the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9 to 15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 across the dimensions: the idea is present but thin, generic, or missing the requirement or the solution.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8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Little relevant content, or the main dimensions left blank.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Case study, out of 100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Exemplary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85 to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Consistently complete answers across the four pain points, specific to Cedarline.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Proficient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65 to 84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Solid answers, with some gaps or generic reasoning in places.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40 to 64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Partial: the direction is right, but several answers are thin or incomplete.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Emerging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under 40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incomplete or off-target answers.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Overall grade, out of 400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Advanced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300 to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Standout work. Across the four case studies the team read the requirements precisely, designed fitting Hybrid Mesh Firewall solutions, and told a clear Cedarline value story.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Established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200 to 299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Strong, consistent work. The team matched the right solutions across most pain points and communicated real value, with a few answers to sharpen.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Foundational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up to 199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 solid foundation to build on. The team engaged every case study and found real products; the next step is naming the requirement and the outcome more precisely.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8091A4"/>
        <w:sz w:val="15"/>
        <w:szCs w:val="15"/>
      </w:rPr>
      <w:t xml:space="preserve">HMF Design Clinic  ·  Page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91A4"/>
        <w:sz w:val="15"/>
        <w:szCs w:val="15"/>
      </w:rPr>
      <w:t xml:space="preserve"> of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2026-08-04T01:26:12.022Z</dcterms:created>
  <dcterms:modified xsi:type="dcterms:W3CDTF">2026-08-04T01:26:12.022Z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