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pain point is scored across three dimensions: Problem Identifier out of 5, Solution Designer out of 10, and Value Communicator out of 10, for 25 per pain point.</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grade is cumulative.  </w:t>
            </w:r>
            <w:r>
              <w:rPr>
                <w:rFonts w:ascii="Calibri" w:cs="Calibri" w:eastAsia="Calibri" w:hAnsi="Calibri"/>
                <w:color w:val="33465F"/>
                <w:sz w:val="20"/>
                <w:szCs w:val="20"/>
              </w:rPr>
              <w:t xml:space="preserve">The scores add up. Your four pain points make a case study score out of 100, and your four case study scores are added together into a cumulative score out of 400. That cumulative score gives your team an overall grade: Advanced (300 to 400), Established (200 to 299), Foundational (up to 199). Every case study counts, so aim for a strong answer on all sixteen pain points.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three-part answer.  </w:t>
            </w:r>
            <w:r>
              <w:rPr>
                <w:rFonts w:ascii="Calibri" w:cs="Calibri" w:eastAsia="Calibri" w:hAnsi="Calibri"/>
                <w:color w:val="33465F"/>
                <w:sz w:val="20"/>
                <w:szCs w:val="20"/>
              </w:rPr>
              <w:t xml:space="preserve">For every customer concern you write three things, one for each dimension you are scored on: the requirement behind the concern (identify the problem), a Product / platform (design the solution), and how it helps and the outcome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9DEC9" w:sz="6"/>
              <w:left w:val="single" w:color="A9DEC9" w:sz="6"/>
              <w:bottom w:val="single" w:color="A9DEC9" w:sz="6"/>
              <w:right w:val="single" w:color="A9DEC9" w:sz="6"/>
            </w:tcBorders>
            <w:shd w:fill="EAF7F0" w:color="auto" w:val="clear"/>
            <w:tcMar>
              <w:top w:type="dxa" w:w="110"/>
              <w:left w:type="dxa" w:w="160"/>
              <w:bottom w:type="dxa" w:w="110"/>
              <w:right w:type="dxa" w:w="160"/>
            </w:tcMar>
            <w:vAlign w:val="top"/>
          </w:tcPr>
          <w:p>
            <w:pPr>
              <w:spacing w:after="40" w:before="0" w:line="276"/>
            </w:pPr>
            <w:r>
              <w:rPr>
                <w:rFonts w:ascii="Calibri" w:cs="Calibri" w:eastAsia="Calibri" w:hAnsi="Calibri"/>
                <w:b/>
                <w:bCs/>
                <w:color w:val="155C43"/>
                <w:sz w:val="21"/>
                <w:szCs w:val="21"/>
              </w:rPr>
              <w:t xml:space="preserve">Quick start</w:t>
            </w:r>
          </w:p>
          <w:p>
            <w:pPr>
              <w:spacing w:after="0" w:before="0" w:line="276"/>
            </w:pPr>
            <w:r>
              <w:rPr>
                <w:rFonts w:ascii="Calibri" w:cs="Calibri" w:eastAsia="Calibri" w:hAnsi="Calibri"/>
                <w:color w:val="26543F"/>
                <w:sz w:val="20"/>
                <w:szCs w:val="20"/>
              </w:rPr>
              <w:t xml:space="preserve">In your pair, take one case study. For each pain point: name the requirement, pick a product from the cheat-strip, and write how it helps and the outcome. About five minutes per pain point.</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cheat-strip</w:t>
      </w:r>
    </w:p>
    <w:p>
      <w:pPr>
        <w:spacing w:after="50" w:before="0" w:line="276"/>
      </w:pPr>
      <w:r>
        <w:rPr>
          <w:rFonts w:ascii="Calibri" w:cs="Calibri" w:eastAsia="Calibri" w:hAnsi="Calibri"/>
          <w:color w:val="3A4C63"/>
          <w:sz w:val="21"/>
          <w:szCs w:val="21"/>
        </w:rPr>
        <w:t xml:space="preserve">The products, platforms and features available across the Hybrid Mesh Firewall. Use it to identify which one fits each pain point; which fits which concern is for you to decide.</w:t>
      </w:r>
    </w:p>
    <w:p>
      <w:pPr>
        <w:spacing w:after="40" w:before="0" w:line="276"/>
      </w:pPr>
      <w:r>
        <w:rPr>
          <w:rFonts w:ascii="Calibri" w:cs="Calibri" w:eastAsia="Calibri" w:hAnsi="Calibri"/>
          <w:i/>
          <w:iCs/>
          <w:color w:val="7E8CA1"/>
          <w:sz w:val="17"/>
          <w:szCs w:val="17"/>
        </w:rPr>
        <w:t xml:space="preserve">Tip: detach this page and keep it beside you while you work.</w:t>
      </w:r>
    </w:p>
    <w:p>
      <w:pPr>
        <w:spacing w:after="30" w:before="130" w:line="276"/>
      </w:pPr>
      <w:r>
        <w:rPr>
          <w:rFonts w:ascii="Calibri" w:cs="Calibri" w:eastAsia="Calibri" w:hAnsi="Calibri"/>
          <w:b/>
          <w:bCs/>
          <w:caps/>
          <w:color w:val="0D274D"/>
          <w:sz w:val="15"/>
          <w:szCs w:val="15"/>
        </w:rPr>
        <w:t xml:space="preserve">Platforms and products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AI Defense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Secures AI applications and models across build and runtime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Multicloud Defense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One security policy plane across public clouds</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(FTD)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next-generation firewall, Firewall Threat Defense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Firewall Management Center (FMC)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The centralised manager for the Secure Firewall estate, handling…</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Security Cloud Control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Cloud-delivered management across the firewall and security estate, for…</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Secure Workload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Application-dependency mapping and micro-segmentation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Identity Services Engine (ISE)</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Network identity and access control</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Cisco Hypershield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AI-native, highly distributed security enforcement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Cilium</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Kubernetes networking and policy, giving consistent…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Isovalent Tetragon</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eBPF-based runtime security for workloads, detecting suspicious system…</w:t>
            </w:r>
          </w:p>
        </w:tc>
      </w:tr>
    </w:tbl>
    <w:p>
      <w:pPr>
        <w:spacing w:after="30" w:before="130" w:line="276"/>
      </w:pPr>
      <w:r>
        <w:rPr>
          <w:rFonts w:ascii="Calibri" w:cs="Calibri" w:eastAsia="Calibri" w:hAnsi="Calibri"/>
          <w:b/>
          <w:bCs/>
          <w:caps/>
          <w:color w:val="0D274D"/>
          <w:sz w:val="15"/>
          <w:szCs w:val="15"/>
        </w:rPr>
        <w:t xml:space="preserve">Key capabilities and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Encrypted Visibility Engine (EVE)</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infers threats from encrypted traffic…</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Snort ML</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 Secure Firewall capability that adds machine-learning detection…</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pxGrid</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a context-sharing fabric so security tools can act…</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Adaptive Network Control (ANC)</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An ISE capability that quarantines or restricts a device in real time…</w:t>
            </w:r>
          </w:p>
        </w:tc>
      </w:tr>
      <w:tr>
        <w:tc>
          <w:tcPr>
            <w:tcW w:type="dxa" w:w="3557"/>
            <w:tcBorders>
              <w:top w:val="single" w:color="EDF2F8" w:sz="4"/>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Security Group Tags (SGT)</w:t>
            </w:r>
          </w:p>
        </w:tc>
        <w:tc>
          <w:tcPr>
            <w:tcW w:type="dxa" w:w="5803"/>
            <w:tcBorders>
              <w:top w:val="single" w:color="EDF2F8" w:sz="4"/>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Group-based policy tags (Cisco TrustSec) that enable scalable,…</w:t>
            </w:r>
          </w:p>
        </w:tc>
      </w:tr>
    </w:tbl>
    <w:p>
      <w:pPr>
        <w:spacing w:after="30" w:before="130" w:line="276"/>
      </w:pPr>
      <w:r>
        <w:rPr>
          <w:rFonts w:ascii="Calibri" w:cs="Calibri" w:eastAsia="Calibri" w:hAnsi="Calibri"/>
          <w:b/>
          <w:bCs/>
          <w:caps/>
          <w:color w:val="0D274D"/>
          <w:sz w:val="15"/>
          <w:szCs w:val="15"/>
        </w:rPr>
        <w:t xml:space="preserve">Architecture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557"/>
        <w:gridCol w:w="5803"/>
      </w:tblGrid>
      <w:tr>
        <w:tc>
          <w:tcPr>
            <w:tcW w:type="dxa" w:w="3557"/>
            <w:tcBorders>
              <w:top w:val="none" w:color="FFFFFF" w:sz="0"/>
              <w:left w:val="none" w:color="FFFFFF" w:sz="0"/>
              <w:bottom w:val="none" w:color="FFFFFF" w:sz="0"/>
              <w:right w:val="none" w:color="FFFFFF" w:sz="0"/>
            </w:tcBorders>
            <w:tcMar>
              <w:top w:type="dxa" w:w="50"/>
              <w:left w:type="dxa" w:w="120"/>
              <w:bottom w:type="dxa" w:w="50"/>
              <w:right w:type="dxa" w:w="100"/>
            </w:tcMar>
          </w:tcPr>
          <w:p>
            <w:pPr>
              <w:spacing w:after="0" w:before="0" w:line="276"/>
            </w:pPr>
            <w:r>
              <w:rPr>
                <w:rFonts w:ascii="Calibri" w:cs="Calibri" w:eastAsia="Calibri" w:hAnsi="Calibri"/>
                <w:b/>
                <w:bCs/>
                <w:color w:val="0B6670"/>
                <w:sz w:val="17"/>
                <w:szCs w:val="17"/>
              </w:rPr>
              <w:t xml:space="preserve">Hybrid Mesh Firewall (HMF)</w:t>
            </w:r>
          </w:p>
        </w:tc>
        <w:tc>
          <w:tcPr>
            <w:tcW w:type="dxa" w:w="5803"/>
            <w:tcBorders>
              <w:top w:val="none" w:color="FFFFFF" w:sz="0"/>
              <w:left w:val="none" w:color="FFFFFF" w:sz="0"/>
              <w:bottom w:val="none" w:color="FFFFFF" w:sz="0"/>
              <w:right w:val="none" w:color="FFFFFF" w:sz="0"/>
            </w:tcBorders>
            <w:tcMar>
              <w:top w:type="dxa" w:w="50"/>
              <w:left w:type="dxa" w:w="110"/>
              <w:bottom w:type="dxa" w:w="50"/>
              <w:right w:type="dxa" w:w="130"/>
            </w:tcMar>
          </w:tcPr>
          <w:p>
            <w:pPr>
              <w:spacing w:after="0" w:before="0" w:line="276"/>
            </w:pPr>
            <w:r>
              <w:rPr>
                <w:rFonts w:ascii="Calibri" w:cs="Calibri" w:eastAsia="Calibri" w:hAnsi="Calibri"/>
                <w:color w:val="46566E"/>
                <w:sz w:val="17"/>
                <w:szCs w:val="17"/>
              </w:rPr>
              <w:t xml:space="preserve">Cisco's approach to consistent security enforcement across firewalls,…</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274D" w:sz="6"/>
              <w:left w:val="single" w:color="0D274D" w:sz="6"/>
              <w:bottom w:val="single" w:color="0D274D" w:sz="6"/>
              <w:right w:val="single" w:color="0D274D" w:sz="6"/>
            </w:tcBorders>
            <w:shd w:fill="0D274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7FE2EF"/>
                <w:sz w:val="19"/>
                <w:szCs w:val="19"/>
              </w:rPr>
              <w:t xml:space="preserve">Your task.  </w:t>
            </w:r>
            <w:r>
              <w:rPr>
                <w:rFonts w:ascii="Calibri" w:cs="Calibri" w:eastAsia="Calibri" w:hAnsi="Calibri"/>
                <w:color w:val="EAF1F8"/>
                <w:sz w:val="19"/>
                <w:szCs w:val="19"/>
              </w:rPr>
              <w:t xml:space="preserve">For each pain point below, name the requirement behind the concern, choose the product from the cheat-strip, then write how it helps and the outcome it delivers.</w:t>
            </w:r>
          </w:p>
        </w:tc>
      </w:tr>
    </w:tbl>
    <w:p>
      <w:pPr>
        <w:spacing w:after="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tbl>
      <w:tblPr>
        <w:tblW w:type="dxa" w:w="9360"/>
        <w:tblBorders>
          <w:top w:val="single" w:color="C4D2E2" w:sz="6"/>
          <w:left w:val="single" w:color="C4D2E2" w:sz="6"/>
          <w:bottom w:val="single" w:color="C4D2E2" w:sz="6"/>
          <w:right w:val="single" w:color="C4D2E2" w:sz="6"/>
          <w:insideH w:val="single" w:color="EDF2F8" w:sz="4"/>
          <w:insideV w:val="none" w:color="FFFFFF" w:sz="0"/>
        </w:tblBorders>
      </w:tblPr>
      <w:tblGrid>
        <w:gridCol w:w="2000"/>
        <w:gridCol w:w="7360"/>
      </w:tblGrid>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The requirement</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369"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Product / platform</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r>
        <w:trPr>
          <w:trHeight w:val="1304" w:hRule="atLeast"/>
        </w:trPr>
        <w:tc>
          <w:tcPr>
            <w:tcW w:type="dxa" w:w="2000"/>
            <w:tcBorders>
              <w:top w:val="none" w:color="FFFFFF" w:sz="0"/>
              <w:left w:val="none" w:color="FFFFFF" w:sz="0"/>
              <w:bottom w:val="none" w:color="FFFFFF" w:sz="0"/>
              <w:right w:val="none" w:color="FFFFFF" w:sz="0"/>
            </w:tcBorders>
            <w:tcMar>
              <w:top w:type="dxa" w:w="90"/>
              <w:left w:type="dxa" w:w="150"/>
              <w:bottom w:type="dxa" w:w="90"/>
              <w:right w:type="dxa" w:w="100"/>
            </w:tcMar>
            <w:vAlign w:val="top"/>
          </w:tcPr>
          <w:p>
            <w:pPr>
              <w:spacing w:after="0" w:before="0" w:line="276"/>
            </w:pPr>
            <w:r>
              <w:rPr>
                <w:rFonts w:ascii="Calibri" w:cs="Calibri" w:eastAsia="Calibri" w:hAnsi="Calibri"/>
                <w:b/>
                <w:bCs/>
                <w:caps/>
                <w:color w:val="036C8F"/>
                <w:sz w:val="15"/>
                <w:szCs w:val="15"/>
              </w:rPr>
              <w:t xml:space="preserve">How it helps, and the outcome</w:t>
            </w:r>
          </w:p>
        </w:tc>
        <w:tc>
          <w:tcPr>
            <w:tcW w:type="dxa" w:w="7360"/>
            <w:tcBorders>
              <w:top w:val="none" w:color="FFFFFF" w:sz="0"/>
              <w:left w:val="none" w:color="FFFFFF" w:sz="0"/>
              <w:bottom w:val="none" w:color="FFFFFF" w:sz="0"/>
              <w:right w:val="none" w:color="FFFFFF" w:sz="0"/>
            </w:tcBorders>
            <w:tcMar>
              <w:top w:type="dxa" w:w="90"/>
              <w:left w:type="dxa" w:w="120"/>
              <w:bottom w:type="dxa" w:w="90"/>
              <w:right w:type="dxa" w:w="140"/>
            </w:tcMar>
          </w:tcPr>
          <w:p>
            <w:pPr>
              <w:spacing w:after="0" w:before="0" w:line="276"/>
            </w:pPr>
            <w:r>
              <w:rPr>
                <w:rFonts w:ascii="Calibri" w:cs="Calibri" w:eastAsia="Calibri" w:hAnsi="Calibri"/>
                <w:color w:val="14263A"/>
                <w:sz w:val="2"/>
                <w:szCs w:val="2"/>
              </w:rPr>
              <w:t xml:space="preserve"/>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For the proctor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Proctor evaluation</w:t>
      </w:r>
    </w:p>
    <w:p>
      <w:pPr>
        <w:spacing w:after="120" w:before="0" w:line="276"/>
      </w:pPr>
      <w:r>
        <w:rPr>
          <w:rFonts w:ascii="Calibri" w:cs="Calibri" w:eastAsia="Calibri" w:hAnsi="Calibri"/>
          <w:color w:val="3A4C63"/>
          <w:sz w:val="21"/>
          <w:szCs w:val="21"/>
        </w:rPr>
        <w:t xml:space="preserve">This page is completed by the proctor after your team submits the Workbook. Each case study is scored out of 100 against the Grading Guide, with feedback that supports the score, for an overall score out of 400.</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rPr>
          <w:trHeight w:val="680" w:hRule="atLeast"/>
        </w:trP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color w:val="9AA8BC"/>
                <w:sz w:val="20"/>
                <w:szCs w:val="20"/>
              </w:rPr>
              <w:t xml:space="preserve">________</w:t>
            </w:r>
          </w:p>
        </w:tc>
        <w:tc>
          <w:tcPr>
            <w:tcW w:type="dxa" w:w="4960"/>
            <w:tcBorders>
              <w:top w:val="single" w:color="E4EBF3" w:sz="4"/>
              <w:left w:val="none" w:color="FFFFFF" w:sz="0"/>
              <w:bottom w:val="none" w:color="FFFFFF" w:sz="0"/>
              <w:right w:val="none" w:color="FFFFFF" w:sz="0"/>
            </w:tcBorders>
            <w:tcMar>
              <w:top w:type="dxa" w:w="60"/>
              <w:left w:type="dxa" w:w="110"/>
              <w:bottom w:type="dxa" w:w="80"/>
              <w:right w:type="dxa" w:w="130"/>
            </w:tcMar>
            <w:vAlign w:val="top"/>
          </w:tcPr>
          <w:p>
            <w:pPr>
              <w:pBdr>
                <w:bottom w:val="single" w:color="C7D2DF" w:sz="6"/>
              </w:pBdr>
              <w:spacing w:after="0" w:before="140" w:line="276"/>
            </w:pPr>
            <w:r>
              <w:rPr>
                <w:rFonts w:ascii="Calibri" w:cs="Calibri" w:eastAsia="Calibri" w:hAnsi="Calibri"/>
                <w:color w:val="14263A"/>
                <w:sz w:val="2"/>
                <w:szCs w:val="2"/>
              </w:rPr>
              <w:t xml:space="preserve"/>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p>
      <w:pPr>
        <w:spacing w:after="120" w:before="0" w:line="276"/>
      </w:pPr>
      <w:r>
        <w:rPr>
          <w:rFonts w:ascii="Calibri" w:cs="Calibri" w:eastAsia="Calibri" w:hAnsi="Calibri"/>
          <w:b/>
          <w:bCs/>
          <w:color w:val="0D274D"/>
          <w:sz w:val="21"/>
          <w:szCs w:val="21"/>
        </w:rPr>
        <w:t xml:space="preserve">Overall grade  </w:t>
      </w:r>
      <w:r>
        <w:rPr>
          <w:rFonts w:ascii="Calibri" w:cs="Calibri" w:eastAsia="Calibri" w:hAnsi="Calibri"/>
          <w:color w:val="8091A4"/>
          <w:sz w:val="21"/>
          <w:szCs w:val="21"/>
        </w:rPr>
        <w:t xml:space="preserve">____________     </w:t>
      </w:r>
      <w:r>
        <w:rPr>
          <w:rFonts w:ascii="Calibri" w:cs="Calibri" w:eastAsia="Calibri" w:hAnsi="Calibri"/>
          <w:color w:val="7E8CA1"/>
          <w:sz w:val="16"/>
          <w:szCs w:val="16"/>
        </w:rPr>
        <w:t xml:space="preserve">(Advanced 300 to 400;  Established 200 to 299;  Foundational up to 199)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2026-08-04T01:26:11.906Z</dcterms:created>
  <dcterms:modified xsi:type="dcterms:W3CDTF">2026-08-04T01:26:11.920Z</dcterms:modified>
</cp:coreProperties>
</file>

<file path=docProps/custom.xml><?xml version="1.0" encoding="utf-8"?>
<Properties xmlns="http://schemas.openxmlformats.org/officeDocument/2006/custom-properties" xmlns:vt="http://schemas.openxmlformats.org/officeDocument/2006/docPropsVTypes"/>
</file>