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w:t>
      </w:r>
    </w:p>
    <w:p>
      <w:pPr>
        <w:spacing w:after="60" w:before="0" w:line="276"/>
      </w:pPr>
      <w:r>
        <w:rPr>
          <w:rFonts w:ascii="Calibri" w:cs="Calibri" w:eastAsia="Calibri" w:hAnsi="Calibri"/>
          <w:b/>
          <w:bCs/>
          <w:color w:val="0D274D"/>
          <w:sz w:val="40"/>
          <w:szCs w:val="40"/>
        </w:rPr>
        <w:t xml:space="preserve">HMF Design Clinic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7E6F3" w:sz="6"/>
              <w:left w:val="single" w:color="B7E6F3" w:sz="6"/>
              <w:bottom w:val="single" w:color="B7E6F3" w:sz="6"/>
              <w:right w:val="single" w:color="B7E6F3" w:sz="6"/>
            </w:tcBorders>
            <w:shd w:fill="F2FB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21"/>
                <w:szCs w:val="21"/>
              </w:rPr>
              <w:t xml:space="preserve">Before you submit, self-check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Problem: did we name the real requirement behind the concern, not just the surface ask?</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Solution: did we recommend a specific Cisco product and the approach, not only a product name?</w:t>
            </w:r>
          </w:p>
          <w:p>
            <w:pPr>
              <w:spacing w:after="40" w:before="0" w:line="276"/>
            </w:pPr>
            <w:r>
              <w:rPr>
                <w:rFonts w:ascii="Calibri" w:cs="Calibri" w:eastAsia="Calibri" w:hAnsi="Calibri"/>
                <w:color w:val="036C8F"/>
                <w:sz w:val="20"/>
                <w:szCs w:val="20"/>
              </w:rPr>
              <w:t xml:space="preserve">•  </w:t>
            </w:r>
            <w:r>
              <w:rPr>
                <w:rFonts w:ascii="Calibri" w:cs="Calibri" w:eastAsia="Calibri" w:hAnsi="Calibri"/>
                <w:color w:val="2A3C52"/>
                <w:sz w:val="20"/>
                <w:szCs w:val="20"/>
              </w:rPr>
              <w:t xml:space="preserve">Value: did we explain how it works and the outcome for Cedarline?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A 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a strong answer looks like</w:t>
      </w:r>
    </w:p>
    <w:p>
      <w:pPr>
        <w:spacing w:after="120" w:before="0" w:line="276"/>
      </w:pPr>
      <w:r>
        <w:rPr>
          <w:rFonts w:ascii="Calibri" w:cs="Calibri" w:eastAsia="Calibri" w:hAnsi="Calibri"/>
          <w:color w:val="3A4C63"/>
          <w:sz w:val="21"/>
          <w:szCs w:val="21"/>
        </w:rPr>
        <w:t xml:space="preserve">This is an example only, from a different customer conversation. The four case studies you will work are different. Notice how the response identifies the problem, designs the solution, and communicates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34"/>
              <w:bottom w:val="single" w:color="CBD5E3" w:sz="6"/>
              <w:right w:val="single" w:color="CBD5E3" w:sz="6"/>
            </w:tcBorders>
            <w:shd w:fill="FCFEFF" w:color="auto" w:val="clear"/>
            <w:tcMar>
              <w:top w:type="dxa" w:w="110"/>
              <w:left w:type="dxa" w:w="160"/>
              <w:bottom w:type="dxa" w:w="110"/>
              <w:right w:type="dxa" w:w="160"/>
            </w:tcMar>
            <w:vAlign w:val="top"/>
          </w:tcPr>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support team uses a public AI chatbot to draft replies, and staff sometimes paste patient details into it. We cannot see or control what leaves the organisation.</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0B6670"/>
                      <w:sz w:val="20"/>
                      <w:szCs w:val="20"/>
                    </w:rPr>
                    <w:t xml:space="preserve">Cisco AI Defense</w:t>
                  </w:r>
                </w:p>
              </w:tc>
            </w:tr>
          </w:tbl>
          <w:p>
            <w:pPr>
              <w:spacing w:after="60"/>
            </w:pPr>
            <w:r>
              <w:rPr>
                <w:rFonts w:ascii="Calibri" w:cs="Calibri" w:eastAsia="Calibri" w:hAnsi="Calibri"/>
                <w:color w:val="14263A"/>
                <w:sz w:val="2"/>
                <w:szCs w:val="2"/>
              </w:rPr>
              <w:t xml:space="preserve"/>
            </w:r>
          </w:p>
          <w:p>
            <w:pPr>
              <w:spacing w:after="50" w:before="110" w:line="276"/>
            </w:pPr>
            <w:r>
              <w:rPr>
                <w:rFonts w:ascii="Calibri" w:cs="Calibri" w:eastAsia="Calibri" w:hAnsi="Calibri"/>
                <w:b/>
                <w:bCs/>
                <w:caps/>
                <w:color w:val="036C8F"/>
                <w:sz w:val="16"/>
                <w:szCs w:val="16"/>
              </w:rPr>
              <w:t xml:space="preserve">Solution Engineer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tcMar>
                    <w:top w:type="dxa" w:w="110"/>
                    <w:left w:type="dxa" w:w="160"/>
                    <w:bottom w:type="dxa" w:w="110"/>
                    <w:right w:type="dxa" w:w="160"/>
                  </w:tcMar>
                  <w:vAlign w:val="top"/>
                </w:tcPr>
                <w:p>
                  <w:pPr>
                    <w:spacing w:after="0" w:before="0" w:line="276"/>
                  </w:pPr>
                  <w:r>
                    <w:rPr>
                      <w:rFonts w:ascii="Calibri" w:cs="Calibri" w:eastAsia="Calibri" w:hAnsi="Calibri"/>
                      <w:b/>
                      <w:bCs/>
                      <w:color w:val="4A3AA8"/>
                      <w:sz w:val="20"/>
                      <w:szCs w:val="20"/>
                    </w:rPr>
                    <w:t xml:space="preserve">Identify. </w:t>
                  </w:r>
                  <w:r>
                    <w:rPr>
                      <w:rFonts w:ascii="Calibri" w:cs="Calibri" w:eastAsia="Calibri" w:hAnsi="Calibri"/>
                      <w:color w:val="2A3C52"/>
                      <w:sz w:val="20"/>
                      <w:szCs w:val="20"/>
                    </w:rPr>
                    <w:t xml:space="preserve">The real requirement is preventing sensitive patient data from leaving the organisation through an unsanctioned AI app, with visibility and control over how it is used. </w:t>
                  </w:r>
                  <w:r>
                    <w:rPr>
                      <w:rFonts w:ascii="Calibri" w:cs="Calibri" w:eastAsia="Calibri" w:hAnsi="Calibri"/>
                      <w:b/>
                      <w:bCs/>
                      <w:color w:val="0B6670"/>
                      <w:sz w:val="20"/>
                      <w:szCs w:val="20"/>
                    </w:rPr>
                    <w:t xml:space="preserve">Design. </w:t>
                  </w:r>
                  <w:r>
                    <w:rPr>
                      <w:rFonts w:ascii="Calibri" w:cs="Calibri" w:eastAsia="Calibri" w:hAnsi="Calibri"/>
                      <w:color w:val="2A3C52"/>
                      <w:sz w:val="20"/>
                      <w:szCs w:val="20"/>
                    </w:rPr>
                    <w:t xml:space="preserve">Cisco AI Defense discovers the AI applications in use and applies runtime guardrails to the prompt and response traffic, so risky data is caught in real time. </w:t>
                  </w:r>
                  <w:r>
                    <w:rPr>
                      <w:rFonts w:ascii="Calibri" w:cs="Calibri" w:eastAsia="Calibri" w:hAnsi="Calibri"/>
                      <w:b/>
                      <w:bCs/>
                      <w:color w:val="9A6516"/>
                      <w:sz w:val="20"/>
                      <w:szCs w:val="20"/>
                    </w:rPr>
                    <w:t xml:space="preserve">Communicate. </w:t>
                  </w:r>
                  <w:r>
                    <w:rPr>
                      <w:rFonts w:ascii="Calibri" w:cs="Calibri" w:eastAsia="Calibri" w:hAnsi="Calibri"/>
                      <w:color w:val="2A3C52"/>
                      <w:sz w:val="20"/>
                      <w:szCs w:val="20"/>
                    </w:rPr>
                    <w:t xml:space="preserve">This lets the support team keep using AI safely rather than banning it, protects patient data and compliance, and adds no friction to their day-to-day work.</w:t>
                  </w:r>
                </w:p>
              </w:tc>
            </w:tr>
          </w:tbl>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HMF product and feature reference</w:t>
      </w:r>
    </w:p>
    <w:p>
      <w:pPr>
        <w:spacing w:after="100" w:before="0" w:line="276"/>
      </w:pPr>
      <w:r>
        <w:rPr>
          <w:rFonts w:ascii="Calibri" w:cs="Calibri" w:eastAsia="Calibri" w:hAnsi="Calibri"/>
          <w:color w:val="3A4C63"/>
          <w:sz w:val="21"/>
          <w:szCs w:val="21"/>
        </w:rPr>
        <w:t xml:space="preserve">The Cisco products, platforms and features available across the Hybrid Mesh Firewall. Use this list to identify which product, platform and feature fits each pain point. Which one fits which concern is for you to decide.</w:t>
      </w:r>
    </w:p>
    <w:p>
      <w:pPr>
        <w:spacing w:after="50" w:before="150" w:line="276"/>
      </w:pPr>
      <w:r>
        <w:rPr>
          <w:rFonts w:ascii="Calibri" w:cs="Calibri" w:eastAsia="Calibri" w:hAnsi="Calibri"/>
          <w:b/>
          <w:bCs/>
          <w:caps/>
          <w:color w:val="0D274D"/>
          <w:sz w:val="22"/>
          <w:szCs w:val="22"/>
        </w:rPr>
        <w:t xml:space="preserve">Platforms and products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Secures AI applications and models across build and runtime. It validates models and applications, scans the AI supply chain (models, repositories and MCP servers), discovers AI assets across the cloud, and applies runtime guardrails to prompt and response traffic.</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One security policy plane across public clouds. It provides consistent segmentation, egress control, traffic visibility and policy enforcement across AWS, Azure and GCP, and integrates with AI Defense for cloud runtime enforcement.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next-generation firewall, Firewall Threat Defense. It delivers perimeter and data-centre enforcement with intrusion prevention, application control and advanced threat detection.</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Management Center (FMC)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centralised manager for the Secure Firewall estate, handling policy, logging and reporting across firewalls.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firewall and security estate, for unified policy administration and rule cleanup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Application-dependency mapping and micro-segmentation. It reveals how workloads actually communicate, then drives safe segmentation policy before it is enforced.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Identity Services Engine (ISE)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Network identity and access control. It knows who and what is on the network and enables rapid, automated quarantine of compromised devices.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Hypershield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AI-native, highly distributed security enforcement. It provides autonomous, in-kernel (eBPF) segmentation and protection for workloads at scale.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 giving consistent connectivity and policy enforcement across clusters and environments.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for workloads, detecting suspicious system and network behaviour in real time.</w:t>
            </w:r>
          </w:p>
        </w:tc>
      </w:tr>
    </w:tbl>
    <w:p>
      <w:pPr>
        <w:spacing w:after="50" w:before="150" w:line="276"/>
      </w:pPr>
      <w:r>
        <w:rPr>
          <w:rFonts w:ascii="Calibri" w:cs="Calibri" w:eastAsia="Calibri" w:hAnsi="Calibri"/>
          <w:b/>
          <w:bCs/>
          <w:caps/>
          <w:color w:val="0D274D"/>
          <w:sz w:val="22"/>
          <w:szCs w:val="22"/>
        </w:rPr>
        <w:t xml:space="preserve">Key capabilities and features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Encrypted Visibility Engine (EVE)</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infers threats from encrypted traffic patterns without decrypting the payload.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 Secure Firewall capability that adds machine-learning detection inside the Snort 3 engine to catch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a context-sharing fabric so security tools can act on identity, for example triggering an automatic quarantine.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Adaptive Network Control (ANC)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ISE capability that quarantines or restricts a device in real time when a threat is detected.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Security Group Tags (SGT)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Group-based policy tags (Cisco TrustSec) that enable scalable, identity-aware segmentation.</w:t>
            </w:r>
          </w:p>
        </w:tc>
      </w:tr>
    </w:tbl>
    <w:p>
      <w:pPr>
        <w:spacing w:after="50" w:before="150" w:line="276"/>
      </w:pPr>
      <w:r>
        <w:rPr>
          <w:rFonts w:ascii="Calibri" w:cs="Calibri" w:eastAsia="Calibri" w:hAnsi="Calibri"/>
          <w:b/>
          <w:bCs/>
          <w:caps/>
          <w:color w:val="0D274D"/>
          <w:sz w:val="22"/>
          <w:szCs w:val="22"/>
        </w:rPr>
        <w:t xml:space="preserve">Architecture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approach to consistent security enforcement across firewalls, cloud gateways, workloads and Kubernetes, all managed centrally.</w:t>
            </w:r>
          </w:p>
        </w:tc>
      </w:tr>
    </w:tbl>
    <w:p>
      <w:pPr>
        <w:spacing w:after="80" w:before="180" w:line="276"/>
      </w:pPr>
      <w:r>
        <w:rPr>
          <w:rFonts w:ascii="Calibri" w:cs="Calibri" w:eastAsia="Calibri" w:hAnsi="Calibri"/>
          <w:b/>
          <w:bCs/>
          <w:color w:val="0D274D"/>
          <w:sz w:val="30"/>
          <w:szCs w:val="30"/>
        </w:rPr>
        <w:t xml:space="preserve">Decode the jargon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089"/>
        <w:gridCol w:w="6271"/>
      </w:tblGrid>
      <w:tr>
        <w:tc>
          <w:tcPr>
            <w:tcW w:type="dxa" w:w="3089"/>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271"/>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3089"/>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271"/>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Your facilitator collects this for </w:t>
      </w:r>
      <w:r>
        <w:rPr>
          <w:rFonts w:ascii="Calibri" w:cs="Calibri" w:eastAsia="Calibri" w:hAnsi="Calibri"/>
          <w:b/>
          <w:bCs/>
          <w:color w:val="0D274D"/>
          <w:sz w:val="21"/>
          <w:szCs w:val="21"/>
        </w:rPr>
        <w:t xml:space="preserve">Subject Matter Expert (SME) review</w:t>
      </w:r>
      <w:r>
        <w:rPr>
          <w:rFonts w:ascii="Calibri" w:cs="Calibri" w:eastAsia="Calibri" w:hAnsi="Calibri"/>
          <w:color w:val="3A4C63"/>
          <w:sz w:val="21"/>
          <w:szCs w:val="21"/>
        </w:rPr>
        <w:t xml:space="preserve">: it is reviewed, not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55"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 Submitted for SME review.</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2026-08-03T20:15:38.338Z</dcterms:created>
  <dcterms:modified xsi:type="dcterms:W3CDTF">2026-08-03T20:15:38.340Z</dcterms:modified>
</cp:coreProperties>
</file>

<file path=docProps/custom.xml><?xml version="1.0" encoding="utf-8"?>
<Properties xmlns="http://schemas.openxmlformats.org/officeDocument/2006/custom-properties" xmlns:vt="http://schemas.openxmlformats.org/officeDocument/2006/docPropsVTypes"/>
</file>