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0D274D" w:val="clear"/>
            <w:tcMar>
              <w:top w:type="dxa" w:w="220"/>
              <w:left w:type="dxa" w:w="250"/>
              <w:bottom w:type="dxa" w:w="220"/>
              <w:right w:type="dxa" w:w="2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FE2EF"/>
                <w:sz w:val="16"/>
                <w:szCs w:val="16"/>
              </w:rPr>
              <w:t xml:space="preserve">CISCO SECURE · DESIGN CLINIC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Activity Guide</w:t>
            </w:r>
          </w:p>
          <w:p>
            <w:pPr>
              <w:spacing w:before="20"/>
            </w:pPr>
            <w:r>
              <w:rPr>
                <w:rFonts w:ascii="Calibri" w:cs="Calibri" w:eastAsia="Calibri" w:hAnsi="Calibri"/>
                <w:b/>
                <w:bCs/>
                <w:color w:val="8FD8EA"/>
                <w:sz w:val="19"/>
                <w:szCs w:val="19"/>
              </w:rPr>
              <w:t xml:space="preserve">How the HMF Design Clinic works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0E1A2B"/>
          <w:sz w:val="22"/>
          <w:szCs w:val="22"/>
        </w:rPr>
        <w:t xml:space="preserve">A hands-on team exercise. Your team acts as Cisco Solution Engineers for Cedarline Health Group. You read their situation, then work four use cases — for each customer pain point you take on, you answer with the right Cisco product and a short Solution-Engineer explanation of how it helps.</w:t>
      </w:r>
    </w:p>
    <w:p>
      <w:pPr>
        <w:spacing w:after="40" w:before="130"/>
      </w:pPr>
      <w:r>
        <w:rPr>
          <w:rFonts w:ascii="Calibri" w:cs="Calibri" w:eastAsia="Calibri" w:hAnsi="Calibri"/>
          <w:b/>
          <w:bCs/>
          <w:caps/>
          <w:color w:val="036C8F"/>
          <w:sz w:val="18"/>
          <w:szCs w:val="18"/>
        </w:rPr>
        <w:t xml:space="preserve">What you do, start to finish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1"/>
          <w:szCs w:val="21"/>
        </w:rPr>
        <w:t xml:space="preserve">Form a team — name and members.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1"/>
          <w:szCs w:val="21"/>
        </w:rPr>
        <w:t xml:space="preserve">Read the customer scenario with your team.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1"/>
          <w:szCs w:val="21"/>
        </w:rPr>
        <w:t xml:space="preserve">Work the four use cases: 1) AI Security, 2) Cloud Edge, 3) DC Edge · Perimeter Firewall, 4) Macro &amp; Micro Segmentation.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1"/>
          <w:szCs w:val="21"/>
        </w:rPr>
        <w:t xml:space="preserve">Each use case lists the customer’s pain points (27 in total). For each one you take on, write the product / platform and a Solution-Engineer response — how it addresses the concern and how it helps.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1"/>
          <w:szCs w:val="21"/>
        </w:rPr>
        <w:t xml:space="preserve">Your proctor assigns which pain points to answer. Each use case is scored out of 100; four make 400.</w:t>
      </w:r>
    </w:p>
    <w:p>
      <w:pPr>
        <w:spacing w:after="40" w:before="130"/>
      </w:pPr>
      <w:r>
        <w:rPr>
          <w:rFonts w:ascii="Calibri" w:cs="Calibri" w:eastAsia="Calibri" w:hAnsi="Calibri"/>
          <w:b/>
          <w:bCs/>
          <w:caps/>
          <w:color w:val="036C8F"/>
          <w:sz w:val="18"/>
          <w:szCs w:val="18"/>
        </w:rPr>
        <w:t xml:space="preserve">How to write a good answer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1"/>
          <w:szCs w:val="21"/>
        </w:rPr>
        <w:t xml:space="preserve">Name a product, not a category.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1"/>
          <w:szCs w:val="21"/>
        </w:rPr>
        <w:t xml:space="preserve">Make the reasoning specific to Cedarline — their real constraints (no decrypting clinical traffic, ~10,000-rule segmentation failures, two firewall engineers, three cloud policy models, AI assets appearing faster than security can track).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1"/>
          <w:szCs w:val="21"/>
        </w:rPr>
        <w:t xml:space="preserve">Say how it helps — the outcome for the customer, not just the feature.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0E1A2B"/>
          <w:sz w:val="21"/>
          <w:szCs w:val="21"/>
        </w:rPr>
        <w:t xml:space="preserve">A product name with no reasoning scores low; reasoning true for any customer scores in the middle; reasoning that turns on something Cedarline said scores high.</w:t>
      </w:r>
    </w:p>
    <w:tbl>
      <w:tblPr>
        <w:tblW w:type="dxa" w:w="10080"/>
        <w:tblBorders>
          <w:top w:val="none"/>
          <w:left w:val="single" w:color="B4700F" w:sz="20"/>
          <w:bottom w:val="none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BF3E3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8a560f"/>
                <w:sz w:val="17"/>
                <w:szCs w:val="17"/>
              </w:rPr>
              <w:t xml:space="preserve">TIP  </w:t>
            </w:r>
            <w:r>
              <w:rPr>
                <w:rFonts w:ascii="Calibri" w:cs="Calibri" w:eastAsia="Calibri" w:hAnsi="Calibri"/>
                <w:color w:val="5f430c"/>
                <w:sz w:val="20"/>
                <w:szCs w:val="20"/>
              </w:rPr>
              <w:t xml:space="preserve">Half the marks are the reasoning. The best answers sound like they could only have been written for Cedarline.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2026-07-25T13:28:18.109Z</dcterms:created>
  <dcterms:modified xsi:type="dcterms:W3CDTF">2026-07-25T13:28:18.109Z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