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8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860"/>
      </w:tblGrid>
      <w:tr>
        <w:tc>
          <w:tcPr>
            <w:tcW w:type="dxa" w:w="13860"/>
            <w:shd w:fill="B03636" w:val="clear"/>
            <w:tcMar>
              <w:top w:type="dxa" w:w="220"/>
              <w:left w:type="dxa" w:w="250"/>
              <w:bottom w:type="dxa" w:w="220"/>
              <w:right w:type="dxa" w:w="2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d9d9"/>
                <w:sz w:val="14"/>
                <w:szCs w:val="14"/>
              </w:rPr>
              <w:t xml:space="preserve">PROCTOR ONLY · AT A GLANCE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Proctor Cheat Sheet — 27 pain points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ffe3e3"/>
                <w:sz w:val="15"/>
                <w:szCs w:val="15"/>
              </w:rPr>
              <w:t xml:space="preserve">Each use case /100 (≈50 products + ≈50 reasoning) · 4 = 400. Reward Cedarline-specific reasoning. Full detail in the Proctor Guide.</w:t>
            </w:r>
          </w:p>
        </w:tc>
      </w:tr>
    </w:tbl>
    <w:p>
      <w:pPr>
        <w:spacing w:after="120"/>
      </w:pPr>
    </w:p>
    <w:p>
      <w:pPr>
        <w:spacing w:after="50" w:before="120"/>
      </w:pPr>
      <w:r>
        <w:rPr>
          <w:rFonts w:ascii="Calibri" w:cs="Calibri" w:eastAsia="Calibri" w:hAnsi="Calibri"/>
          <w:b/>
          <w:bCs/>
          <w:color w:val="036C8F"/>
          <w:sz w:val="22"/>
          <w:szCs w:val="22"/>
        </w:rPr>
        <w:t xml:space="preserve">1 · AI Security</w:t>
      </w:r>
      <w:r>
        <w:rPr>
          <w:rFonts w:ascii="Calibri" w:cs="Calibri" w:eastAsia="Calibri" w:hAnsi="Calibri"/>
          <w:color w:val="46566E"/>
          <w:sz w:val="16"/>
          <w:szCs w:val="16"/>
        </w:rPr>
        <w:t xml:space="preserve">   · 7 pain points</w:t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937"/>
        <w:gridCol w:w="6403"/>
      </w:tblGrid>
      <w:tr>
        <w:trPr>
          <w:tblHeader/>
        </w:trPr>
        <w:tc>
          <w:tcPr>
            <w:tcW w:type="dxa" w:w="520"/>
            <w:shd w:fill="036C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937"/>
            <w:shd w:fill="036C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Customer pain point (gist)</w:t>
            </w:r>
          </w:p>
        </w:tc>
        <w:tc>
          <w:tcPr>
            <w:tcW w:type="dxa" w:w="6403"/>
            <w:shd w:fill="036C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Expected product(s)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C8F"/>
                <w:sz w:val="16"/>
                <w:szCs w:val="16"/>
              </w:rPr>
              <w:t xml:space="preserve">1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Our production AI applications are exposed to users, and we are worried about adversarial…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AI Defense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C8F"/>
                <w:sz w:val="16"/>
                <w:szCs w:val="16"/>
              </w:rPr>
              <w:t xml:space="preserve">2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Under the EU AI Act, we are classified as a 'Provider' for our internal…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AI Defense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C8F"/>
                <w:sz w:val="16"/>
                <w:szCs w:val="16"/>
              </w:rPr>
              <w:t xml:space="preserve">3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are integrating various open-source models and third-party agents into our internal workflows. How…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AI Defense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C8F"/>
                <w:sz w:val="16"/>
                <w:szCs w:val="16"/>
              </w:rPr>
              <w:t xml:space="preserve">4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have thousands of IoT devices, printers, and guest users connecting to our network.…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ISE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C8F"/>
                <w:sz w:val="16"/>
                <w:szCs w:val="16"/>
              </w:rPr>
              <w:t xml:space="preserve">5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know AI is showing up across our cloud environments faster than security can…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AI Defense – AI Cloud Visibility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C8F"/>
                <w:sz w:val="16"/>
                <w:szCs w:val="16"/>
              </w:rPr>
              <w:t xml:space="preserve">6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We’re concerned that vulnerable or compromised models, repositories, or MCP servers could enter development…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AI Defense – AI Supply Chain Risk Management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C8F"/>
                <w:sz w:val="16"/>
                <w:szCs w:val="16"/>
              </w:rPr>
              <w:t xml:space="preserve">7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We’re running AI workloads in cloud accounts, but we don’t have a reliable way…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AI Defense = AI visibility and guardrail integration
Multicloud Defense = cloud account connection, traffic visibility, policy attachment, and egress enforcement</w:t>
            </w:r>
          </w:p>
        </w:tc>
      </w:tr>
    </w:tbl>
    <w:p>
      <w:pPr>
        <w:spacing w:after="50" w:before="120"/>
      </w:pPr>
      <w:r>
        <w:rPr>
          <w:rFonts w:ascii="Calibri" w:cs="Calibri" w:eastAsia="Calibri" w:hAnsi="Calibri"/>
          <w:b/>
          <w:bCs/>
          <w:color w:val="2A6FB0"/>
          <w:sz w:val="22"/>
          <w:szCs w:val="22"/>
        </w:rPr>
        <w:t xml:space="preserve">2 · Cloud Edge</w:t>
      </w:r>
      <w:r>
        <w:rPr>
          <w:rFonts w:ascii="Calibri" w:cs="Calibri" w:eastAsia="Calibri" w:hAnsi="Calibri"/>
          <w:color w:val="46566E"/>
          <w:sz w:val="16"/>
          <w:szCs w:val="16"/>
        </w:rPr>
        <w:t xml:space="preserve">   · 6 pain points</w:t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937"/>
        <w:gridCol w:w="6403"/>
      </w:tblGrid>
      <w:tr>
        <w:trPr>
          <w:tblHeader/>
        </w:trPr>
        <w:tc>
          <w:tcPr>
            <w:tcW w:type="dxa" w:w="520"/>
            <w:shd w:fill="2A6FB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937"/>
            <w:shd w:fill="2A6FB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Customer pain point (gist)</w:t>
            </w:r>
          </w:p>
        </w:tc>
        <w:tc>
          <w:tcPr>
            <w:tcW w:type="dxa" w:w="6403"/>
            <w:shd w:fill="2A6FB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Expected product(s)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6FB0"/>
                <w:sz w:val="16"/>
                <w:szCs w:val="16"/>
              </w:rPr>
              <w:t xml:space="preserve">1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We’re deploying across AWS, Azure, and GCP, but each cloud has its own constructs…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Multicloud Defense, FTDv, Security Cloud Control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6FB0"/>
                <w:sz w:val="16"/>
                <w:szCs w:val="16"/>
              </w:rPr>
              <w:t xml:space="preserve">2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If a breach occurs in one of our public cloud instances, we are terrified…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Multicloud Defense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6FB0"/>
                <w:sz w:val="16"/>
                <w:szCs w:val="16"/>
              </w:rPr>
              <w:t xml:space="preserve">3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Our auditors require proof that our security controls are applied consistently across all our…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Multicloud Defense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6FB0"/>
                <w:sz w:val="16"/>
                <w:szCs w:val="16"/>
              </w:rPr>
              <w:t xml:space="preserve">4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Our employees work from the office, home, and coffee shops. We are struggling to…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ISE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6FB0"/>
                <w:sz w:val="16"/>
                <w:szCs w:val="16"/>
              </w:rPr>
              <w:t xml:space="preserve">5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have workloads spread across AWS, Azure, and on-premises data centers. Managing security policies…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Multicloud Defense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6FB0"/>
                <w:sz w:val="16"/>
                <w:szCs w:val="16"/>
              </w:rPr>
              <w:t xml:space="preserve">6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have workloads on-prem, in cloud, and in mixed environments, and policy consistency is…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Secure Workload
Cisco Secure Firewall
Cisco Secure Firewall Management Center (FMC)
Cisco Security Cloud Control</w:t>
            </w:r>
          </w:p>
        </w:tc>
      </w:tr>
    </w:tbl>
    <w:p>
      <w:pPr>
        <w:spacing w:after="50" w:before="120"/>
      </w:pPr>
      <w:r>
        <w:rPr>
          <w:rFonts w:ascii="Calibri" w:cs="Calibri" w:eastAsia="Calibri" w:hAnsi="Calibri"/>
          <w:b/>
          <w:bCs/>
          <w:color w:val="B4700F"/>
          <w:sz w:val="22"/>
          <w:szCs w:val="22"/>
        </w:rPr>
        <w:t xml:space="preserve">3 · DC Edge · Perimeter Firewall</w:t>
      </w:r>
      <w:r>
        <w:rPr>
          <w:rFonts w:ascii="Calibri" w:cs="Calibri" w:eastAsia="Calibri" w:hAnsi="Calibri"/>
          <w:color w:val="46566E"/>
          <w:sz w:val="16"/>
          <w:szCs w:val="16"/>
        </w:rPr>
        <w:t xml:space="preserve">   · 5 pain points</w:t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937"/>
        <w:gridCol w:w="6403"/>
      </w:tblGrid>
      <w:tr>
        <w:trPr>
          <w:tblHeader/>
        </w:trPr>
        <w:tc>
          <w:tcPr>
            <w:tcW w:type="dxa" w:w="520"/>
            <w:shd w:fill="B470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937"/>
            <w:shd w:fill="B470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Customer pain point (gist)</w:t>
            </w:r>
          </w:p>
        </w:tc>
        <w:tc>
          <w:tcPr>
            <w:tcW w:type="dxa" w:w="6403"/>
            <w:shd w:fill="B4700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Expected product(s)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700F"/>
                <w:sz w:val="16"/>
                <w:szCs w:val="16"/>
              </w:rPr>
              <w:t xml:space="preserve">1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When our security tools detect a compromised device, our manual response time is too…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ISE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700F"/>
                <w:sz w:val="16"/>
                <w:szCs w:val="16"/>
              </w:rPr>
              <w:t xml:space="preserve">2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We’re worried that once an attacker gets into the environment, they can move laterally…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Secure Firewall, FMC, Secure Workload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700F"/>
                <w:sz w:val="16"/>
                <w:szCs w:val="16"/>
              </w:rPr>
              <w:t xml:space="preserve">3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Our firewall environment has become too complex to manage manually.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Security Cloud Control, FMC, FTD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700F"/>
                <w:sz w:val="16"/>
                <w:szCs w:val="16"/>
              </w:rPr>
              <w:t xml:space="preserve">4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Most of our traffic is encrypted, so we’ve lost visibility into a huge part…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Secure Firewall (FTD), FMC, Security Cloud Control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700F"/>
                <w:sz w:val="16"/>
                <w:szCs w:val="16"/>
              </w:rPr>
              <w:t xml:space="preserve">5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We’re worried traditional signature-based detection won’t catch new or unknown attacks quickly enough.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Secure Firewall (FTD), FMC, Security Cloud Control</w:t>
            </w:r>
          </w:p>
        </w:tc>
      </w:tr>
    </w:tbl>
    <w:p>
      <w:pPr>
        <w:spacing w:after="50" w:before="120"/>
      </w:pPr>
      <w:r>
        <w:rPr>
          <w:rFonts w:ascii="Calibri" w:cs="Calibri" w:eastAsia="Calibri" w:hAnsi="Calibri"/>
          <w:b/>
          <w:bCs/>
          <w:color w:val="1C7A58"/>
          <w:sz w:val="22"/>
          <w:szCs w:val="22"/>
        </w:rPr>
        <w:t xml:space="preserve">4 · Macro &amp; Micro Segmentation</w:t>
      </w:r>
      <w:r>
        <w:rPr>
          <w:rFonts w:ascii="Calibri" w:cs="Calibri" w:eastAsia="Calibri" w:hAnsi="Calibri"/>
          <w:color w:val="46566E"/>
          <w:sz w:val="16"/>
          <w:szCs w:val="16"/>
        </w:rPr>
        <w:t xml:space="preserve">   · 9 pain points</w:t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937"/>
        <w:gridCol w:w="6403"/>
      </w:tblGrid>
      <w:tr>
        <w:trPr>
          <w:tblHeader/>
        </w:trPr>
        <w:tc>
          <w:tcPr>
            <w:tcW w:type="dxa" w:w="520"/>
            <w:shd w:fill="1C7A5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6937"/>
            <w:shd w:fill="1C7A5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Customer pain point (gist)</w:t>
            </w:r>
          </w:p>
        </w:tc>
        <w:tc>
          <w:tcPr>
            <w:tcW w:type="dxa" w:w="6403"/>
            <w:shd w:fill="1C7A5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Expected product(s)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1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don’t feel like we have enough control over east-west movement inside the data…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Hypershield, N9300 Series Smart Switches, Nexus Dashboard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2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Network policy helps, but we also need to know what’s happening at runtime inside…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Tetragon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3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Our Kubernetes environment changes too fast for traditional segmentation approaches. We need policy at…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Isovalent Cilium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4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Our Kubernetes networking feels fragmented across clusters and environments. We’re dealing with too many…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Isovalent Cilium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5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Pods and services are constantly changing, so traditional IP-based policy is hard to maintain.…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cilium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6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Right now we’re stitching together separate tools for networking, security, and observability in Kubernetes,…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cilium and tetragon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7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know we need microsegmentation, but we don’t have enough visibility into east-west flows…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Secure Workload
Cisco Secure Firewall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8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like the idea of workload-level enforcement, but in some environments we can’t install…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Cisco Secure Firewall, FMC, Secure Workload</w:t>
            </w:r>
          </w:p>
        </w:tc>
      </w:tr>
      <w:tr>
        <w:tc>
          <w:tcPr>
            <w:tcW w:type="dxa" w:w="520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7A58"/>
                <w:sz w:val="16"/>
                <w:szCs w:val="16"/>
              </w:rPr>
              <w:t xml:space="preserve">9</w:t>
            </w:r>
          </w:p>
        </w:tc>
        <w:tc>
          <w:tcPr>
            <w:tcW w:type="dxa" w:w="6937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43244"/>
                <w:sz w:val="16"/>
                <w:szCs w:val="16"/>
              </w:rPr>
              <w:t xml:space="preserve">We need Kubernetes networking and security that can perform at scale, support mission-critical workloads,…</w:t>
            </w:r>
          </w:p>
        </w:tc>
        <w:tc>
          <w:tcPr>
            <w:tcW w:type="dxa" w:w="6403"/>
            <w:tcMar>
              <w:top w:type="dxa" w:w="80"/>
              <w:left w:type="dxa" w:w="110"/>
              <w:bottom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A2B"/>
                <w:sz w:val="16"/>
                <w:szCs w:val="16"/>
              </w:rPr>
              <w:t xml:space="preserve">Isovalent Cilium + Tetragon (Isovalent Enterprise Platform)</w:t>
            </w:r>
          </w:p>
        </w:tc>
      </w:tr>
    </w:tbl>
    <w:sectPr>
      <w:pgSz w:w="15840" w:h="12240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2026-07-25T13:28:18.074Z</dcterms:created>
  <dcterms:modified xsi:type="dcterms:W3CDTF">2026-07-25T13:28:18.074Z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