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none"/>
          <w:insideV w:val="none"/>
        </w:tblBorders>
      </w:tblPr>
      <w:tblGrid>
        <w:gridCol w:w="10080"/>
      </w:tblGrid>
      <w:tr>
        <w:tc>
          <w:tcPr>
            <w:tcW w:type="dxa" w:w="10080"/>
            <w:shd w:fill="0D274D" w:val="clear"/>
            <w:tcMar>
              <w:top w:type="dxa" w:w="220"/>
              <w:left w:type="dxa" w:w="250"/>
              <w:bottom w:type="dxa" w:w="220"/>
              <w:right w:type="dxa" w:w="250"/>
            </w:tcMar>
          </w:tcPr>
          <w:p>
            <w:r>
              <w:rPr>
                <w:rFonts w:ascii="Calibri" w:cs="Calibri" w:eastAsia="Calibri" w:hAnsi="Calibri"/>
                <w:b/>
                <w:bCs/>
                <w:color w:val="7FE2EF"/>
                <w:sz w:val="17"/>
                <w:szCs w:val="17"/>
              </w:rPr>
              <w:t xml:space="preserve">CISCO SECURE · DESIGN CLINIC</w:t>
            </w:r>
          </w:p>
          <w:p>
            <w:pPr>
              <w:spacing w:before="60"/>
            </w:pPr>
            <w:r>
              <w:rPr>
                <w:rFonts w:ascii="Calibri" w:cs="Calibri" w:eastAsia="Calibri" w:hAnsi="Calibri"/>
                <w:b/>
                <w:bCs/>
                <w:color w:val="FFFFFF"/>
                <w:sz w:val="50"/>
                <w:szCs w:val="50"/>
              </w:rPr>
              <w:t xml:space="preserve">HMF Design Clinic</w:t>
            </w:r>
          </w:p>
          <w:p>
            <w:pPr>
              <w:spacing w:before="20"/>
            </w:pPr>
            <w:r>
              <w:rPr>
                <w:rFonts w:ascii="Calibri" w:cs="Calibri" w:eastAsia="Calibri" w:hAnsi="Calibri"/>
                <w:b/>
                <w:bCs/>
                <w:color w:val="8FD8EA"/>
                <w:sz w:val="28"/>
                <w:szCs w:val="28"/>
              </w:rPr>
              <w:t xml:space="preserve">Team Workbook</w:t>
            </w:r>
          </w:p>
          <w:p>
            <w:pPr>
              <w:spacing w:before="110"/>
            </w:pPr>
            <w:r>
              <w:rPr>
                <w:rFonts w:ascii="Calibri" w:cs="Calibri" w:eastAsia="Calibri" w:hAnsi="Calibri"/>
                <w:color w:val="AEC4DC"/>
                <w:sz w:val="19"/>
                <w:szCs w:val="19"/>
              </w:rPr>
              <w:t xml:space="preserve">Cedarline Health Group · 4 use cases · 27 customer pain points · 400 points</w:t>
            </w:r>
          </w:p>
        </w:tc>
      </w:tr>
    </w:tbl>
    <w:p>
      <w:pPr>
        <w:spacing w:after="120"/>
      </w:pPr>
    </w:p>
    <w:tbl>
      <w:tblPr>
        <w:tblW w:type="dxa" w:w="10080"/>
        <w:tblBorders>
          <w:top w:val="none"/>
          <w:left w:val="none"/>
          <w:bottom w:val="none"/>
          <w:right w:val="none"/>
          <w:insideH w:val="none"/>
          <w:insideV w:val="none"/>
        </w:tblBorders>
      </w:tblPr>
      <w:tblGrid>
        <w:gridCol w:w="10080"/>
      </w:tblGrid>
      <w:tr>
        <w:tc>
          <w:tcPr>
            <w:tcW w:type="dxa" w:w="10080"/>
            <w:shd w:fill="EEF3F9" w:val="clear"/>
            <w:tcMar>
              <w:top w:type="dxa" w:w="220"/>
              <w:left w:type="dxa" w:w="250"/>
              <w:bottom w:type="dxa" w:w="220"/>
              <w:right w:type="dxa" w:w="250"/>
            </w:tcMar>
          </w:tcPr>
          <w:p>
            <w:r>
              <w:rPr>
                <w:rFonts w:ascii="Calibri" w:cs="Calibri" w:eastAsia="Calibri" w:hAnsi="Calibri"/>
                <w:b/>
                <w:bCs/>
                <w:color w:val="036C8F"/>
                <w:sz w:val="17"/>
                <w:szCs w:val="17"/>
              </w:rPr>
              <w:t xml:space="preserve">YOUR TEAM</w:t>
            </w:r>
          </w:p>
          <w:p>
            <w:pPr>
              <w:spacing w:after="80" w:before="80"/>
            </w:pPr>
            <w:r>
              <w:rPr>
                <w:rFonts w:ascii="Calibri" w:cs="Calibri" w:eastAsia="Calibri" w:hAnsi="Calibri"/>
                <w:b/>
                <w:bCs/>
                <w:color w:val="0D274D"/>
                <w:sz w:val="22"/>
                <w:szCs w:val="22"/>
              </w:rPr>
              <w:t xml:space="preserve">Team name:  </w:t>
            </w:r>
            <w:r>
              <w:rPr>
                <w:rFonts w:ascii="Calibri" w:cs="Calibri" w:eastAsia="Calibri" w:hAnsi="Calibri"/>
                <w:color w:val="9FB0C6"/>
                <w:sz w:val="22"/>
                <w:szCs w:val="22"/>
              </w:rPr>
              <w:t xml:space="preserve">________________________________________</w:t>
            </w:r>
          </w:p>
          <w:p>
            <w:pPr>
              <w:spacing w:after="80" w:before="80"/>
            </w:pPr>
            <w:r>
              <w:rPr>
                <w:rFonts w:ascii="Calibri" w:cs="Calibri" w:eastAsia="Calibri" w:hAnsi="Calibri"/>
                <w:b/>
                <w:bCs/>
                <w:color w:val="0D274D"/>
                <w:sz w:val="22"/>
                <w:szCs w:val="22"/>
              </w:rPr>
              <w:t xml:space="preserve">Team members:  </w:t>
            </w:r>
            <w:r>
              <w:rPr>
                <w:rFonts w:ascii="Calibri" w:cs="Calibri" w:eastAsia="Calibri" w:hAnsi="Calibri"/>
                <w:color w:val="9FB0C6"/>
                <w:sz w:val="22"/>
                <w:szCs w:val="22"/>
              </w:rPr>
              <w:t xml:space="preserve">________________________________________</w:t>
            </w:r>
          </w:p>
          <w:p>
            <w:pPr>
              <w:spacing w:after="80" w:before="80"/>
            </w:pPr>
            <w:r>
              <w:rPr>
                <w:rFonts w:ascii="Calibri" w:cs="Calibri" w:eastAsia="Calibri" w:hAnsi="Calibri"/>
                <w:b/>
                <w:bCs/>
                <w:color w:val="0D274D"/>
                <w:sz w:val="22"/>
                <w:szCs w:val="22"/>
              </w:rPr>
              <w:t xml:space="preserve">Members (cont.):  </w:t>
            </w:r>
            <w:r>
              <w:rPr>
                <w:rFonts w:ascii="Calibri" w:cs="Calibri" w:eastAsia="Calibri" w:hAnsi="Calibri"/>
                <w:color w:val="9FB0C6"/>
                <w:sz w:val="22"/>
                <w:szCs w:val="22"/>
              </w:rPr>
              <w:t xml:space="preserve">________________________________________</w:t>
            </w:r>
          </w:p>
          <w:p>
            <w:pPr>
              <w:spacing w:after="80" w:before="80"/>
            </w:pPr>
            <w:r>
              <w:rPr>
                <w:rFonts w:ascii="Calibri" w:cs="Calibri" w:eastAsia="Calibri" w:hAnsi="Calibri"/>
                <w:b/>
                <w:bCs/>
                <w:color w:val="0D274D"/>
                <w:sz w:val="22"/>
                <w:szCs w:val="22"/>
              </w:rPr>
              <w:t xml:space="preserve">Date:  </w:t>
            </w:r>
            <w:r>
              <w:rPr>
                <w:rFonts w:ascii="Calibri" w:cs="Calibri" w:eastAsia="Calibri" w:hAnsi="Calibri"/>
                <w:color w:val="9FB0C6"/>
                <w:sz w:val="22"/>
                <w:szCs w:val="22"/>
              </w:rPr>
              <w:t xml:space="preserve">________________________________________</w:t>
            </w:r>
          </w:p>
        </w:tc>
      </w:tr>
    </w:tbl>
    <w:p>
      <w:pPr>
        <w:spacing w:after="120"/>
      </w:pPr>
    </w:p>
    <w:p>
      <w:r>
        <w:rPr>
          <w:rFonts w:ascii="Calibri" w:cs="Calibri" w:eastAsia="Calibri" w:hAnsi="Calibri"/>
          <w:b/>
          <w:bCs/>
          <w:color w:val="0D274D"/>
          <w:sz w:val="25"/>
          <w:szCs w:val="25"/>
        </w:rPr>
        <w:t xml:space="preserve">How this workbook works</w:t>
      </w:r>
    </w:p>
    <w:p>
      <w:pPr>
        <w:pStyle w:val="ListParagraph"/>
        <w:numPr>
          <w:ilvl w:val="0"/>
          <w:numId w:val="1"/>
        </w:numPr>
        <w:spacing w:after="60"/>
      </w:pPr>
      <w:r>
        <w:rPr>
          <w:rFonts w:ascii="Calibri" w:cs="Calibri" w:eastAsia="Calibri" w:hAnsi="Calibri"/>
          <w:color w:val="0E1A2B"/>
          <w:sz w:val="21"/>
          <w:szCs w:val="21"/>
        </w:rPr>
        <w:t xml:space="preserve">You’re a team of Cisco Solution Engineers helping Cedarline Health Group. Read their situation (next page), then work the four use cases.</w:t>
      </w:r>
    </w:p>
    <w:p>
      <w:pPr>
        <w:pStyle w:val="ListParagraph"/>
        <w:numPr>
          <w:ilvl w:val="0"/>
          <w:numId w:val="1"/>
        </w:numPr>
        <w:spacing w:after="60"/>
      </w:pPr>
      <w:r>
        <w:rPr>
          <w:rFonts w:ascii="Calibri" w:cs="Calibri" w:eastAsia="Calibri" w:hAnsi="Calibri"/>
          <w:color w:val="0E1A2B"/>
          <w:sz w:val="21"/>
          <w:szCs w:val="21"/>
        </w:rPr>
        <w:t xml:space="preserve">Each use case lists the customer’s pain points. For each one you take on, write the product / platform that solves it and the Solution-Engineer response — how it addresses the concern and how it helps.</w:t>
      </w:r>
    </w:p>
    <w:p>
      <w:pPr>
        <w:pStyle w:val="ListParagraph"/>
        <w:numPr>
          <w:ilvl w:val="0"/>
          <w:numId w:val="1"/>
        </w:numPr>
        <w:spacing w:after="60"/>
      </w:pPr>
      <w:r>
        <w:rPr>
          <w:rFonts w:ascii="Calibri" w:cs="Calibri" w:eastAsia="Calibri" w:hAnsi="Calibri"/>
          <w:color w:val="0E1A2B"/>
          <w:sz w:val="21"/>
          <w:szCs w:val="21"/>
        </w:rPr>
        <w:t xml:space="preserve">Your proctor may assign a subset of pain points per use case. Each use case is scored out of 100 — four make 400.</w:t>
      </w:r>
    </w:p>
    <w:p>
      <w:pPr>
        <w:spacing w:before="120"/>
      </w:pPr>
      <w:r>
        <w:rPr>
          <w:rFonts w:ascii="Calibri" w:cs="Calibri" w:eastAsia="Calibri" w:hAnsi="Calibri"/>
          <w:b/>
          <w:bCs/>
          <w:color w:val="036C8F"/>
          <w:sz w:val="20"/>
          <w:szCs w:val="20"/>
        </w:rPr>
        <w:t xml:space="preserve">Your four use cases</w:t>
      </w:r>
    </w:p>
    <w:p>
      <w:pPr>
        <w:spacing w:after="60"/>
      </w:pPr>
      <w:r>
        <w:rPr>
          <w:rFonts w:ascii="Calibri" w:cs="Calibri" w:eastAsia="Calibri" w:hAnsi="Calibri"/>
          <w:b/>
          <w:bCs/>
          <w:color w:val="036C8F"/>
          <w:sz w:val="22"/>
          <w:szCs w:val="22"/>
        </w:rPr>
        <w:t xml:space="preserve">[  ]  </w:t>
      </w:r>
      <w:r>
        <w:rPr>
          <w:rFonts w:ascii="Calibri" w:cs="Calibri" w:eastAsia="Calibri" w:hAnsi="Calibri"/>
          <w:b/>
          <w:bCs/>
          <w:color w:val="0D274D"/>
          <w:sz w:val="21"/>
          <w:szCs w:val="21"/>
        </w:rPr>
        <w:t xml:space="preserve">1.  AI Security</w:t>
      </w:r>
      <w:r>
        <w:rPr>
          <w:rFonts w:ascii="Calibri" w:cs="Calibri" w:eastAsia="Calibri" w:hAnsi="Calibri"/>
          <w:color w:val="46566E"/>
          <w:sz w:val="19"/>
          <w:szCs w:val="19"/>
        </w:rPr>
        <w:t xml:space="preserve">  —  7 pain points</w:t>
      </w:r>
    </w:p>
    <w:p>
      <w:pPr>
        <w:spacing w:after="60"/>
      </w:pPr>
      <w:r>
        <w:rPr>
          <w:rFonts w:ascii="Calibri" w:cs="Calibri" w:eastAsia="Calibri" w:hAnsi="Calibri"/>
          <w:b/>
          <w:bCs/>
          <w:color w:val="2A6FB0"/>
          <w:sz w:val="22"/>
          <w:szCs w:val="22"/>
        </w:rPr>
        <w:t xml:space="preserve">[  ]  </w:t>
      </w:r>
      <w:r>
        <w:rPr>
          <w:rFonts w:ascii="Calibri" w:cs="Calibri" w:eastAsia="Calibri" w:hAnsi="Calibri"/>
          <w:b/>
          <w:bCs/>
          <w:color w:val="0D274D"/>
          <w:sz w:val="21"/>
          <w:szCs w:val="21"/>
        </w:rPr>
        <w:t xml:space="preserve">2.  Cloud Edge</w:t>
      </w:r>
      <w:r>
        <w:rPr>
          <w:rFonts w:ascii="Calibri" w:cs="Calibri" w:eastAsia="Calibri" w:hAnsi="Calibri"/>
          <w:color w:val="46566E"/>
          <w:sz w:val="19"/>
          <w:szCs w:val="19"/>
        </w:rPr>
        <w:t xml:space="preserve">  —  6 pain points</w:t>
      </w:r>
    </w:p>
    <w:p>
      <w:pPr>
        <w:spacing w:after="60"/>
      </w:pPr>
      <w:r>
        <w:rPr>
          <w:rFonts w:ascii="Calibri" w:cs="Calibri" w:eastAsia="Calibri" w:hAnsi="Calibri"/>
          <w:b/>
          <w:bCs/>
          <w:color w:val="B4700F"/>
          <w:sz w:val="22"/>
          <w:szCs w:val="22"/>
        </w:rPr>
        <w:t xml:space="preserve">[  ]  </w:t>
      </w:r>
      <w:r>
        <w:rPr>
          <w:rFonts w:ascii="Calibri" w:cs="Calibri" w:eastAsia="Calibri" w:hAnsi="Calibri"/>
          <w:b/>
          <w:bCs/>
          <w:color w:val="0D274D"/>
          <w:sz w:val="21"/>
          <w:szCs w:val="21"/>
        </w:rPr>
        <w:t xml:space="preserve">3.  DC Edge · Perimeter Firewall</w:t>
      </w:r>
      <w:r>
        <w:rPr>
          <w:rFonts w:ascii="Calibri" w:cs="Calibri" w:eastAsia="Calibri" w:hAnsi="Calibri"/>
          <w:color w:val="46566E"/>
          <w:sz w:val="19"/>
          <w:szCs w:val="19"/>
        </w:rPr>
        <w:t xml:space="preserve">  —  5 pain points</w:t>
      </w:r>
    </w:p>
    <w:p>
      <w:pPr>
        <w:spacing w:after="60"/>
      </w:pPr>
      <w:r>
        <w:rPr>
          <w:rFonts w:ascii="Calibri" w:cs="Calibri" w:eastAsia="Calibri" w:hAnsi="Calibri"/>
          <w:b/>
          <w:bCs/>
          <w:color w:val="1C7A58"/>
          <w:sz w:val="22"/>
          <w:szCs w:val="22"/>
        </w:rPr>
        <w:t xml:space="preserve">[  ]  </w:t>
      </w:r>
      <w:r>
        <w:rPr>
          <w:rFonts w:ascii="Calibri" w:cs="Calibri" w:eastAsia="Calibri" w:hAnsi="Calibri"/>
          <w:b/>
          <w:bCs/>
          <w:color w:val="0D274D"/>
          <w:sz w:val="21"/>
          <w:szCs w:val="21"/>
        </w:rPr>
        <w:t xml:space="preserve">4.  Macro &amp; Micro Segmentation</w:t>
      </w:r>
      <w:r>
        <w:rPr>
          <w:rFonts w:ascii="Calibri" w:cs="Calibri" w:eastAsia="Calibri" w:hAnsi="Calibri"/>
          <w:color w:val="46566E"/>
          <w:sz w:val="19"/>
          <w:szCs w:val="19"/>
        </w:rPr>
        <w:t xml:space="preserve">  —  9 pain points</w:t>
      </w:r>
    </w:p>
    <w:p>
      <w:r>
        <w:br w:type="page"/>
      </w:r>
    </w:p>
    <w:tbl>
      <w:tblPr>
        <w:tblW w:type="dxa" w:w="10080"/>
        <w:tblBorders>
          <w:top w:val="none"/>
          <w:left w:val="none"/>
          <w:bottom w:val="none"/>
          <w:right w:val="none"/>
          <w:insideH w:val="none"/>
          <w:insideV w:val="none"/>
        </w:tblBorders>
      </w:tblPr>
      <w:tblGrid>
        <w:gridCol w:w="10080"/>
      </w:tblGrid>
      <w:tr>
        <w:tc>
          <w:tcPr>
            <w:tcW w:type="dxa" w:w="10080"/>
            <w:shd w:fill="0D274D" w:val="clear"/>
            <w:tcMar>
              <w:top w:type="dxa" w:w="220"/>
              <w:left w:type="dxa" w:w="250"/>
              <w:bottom w:type="dxa" w:w="220"/>
              <w:right w:type="dxa" w:w="250"/>
            </w:tcMar>
          </w:tcPr>
          <w:p>
            <w:r>
              <w:rPr>
                <w:rFonts w:ascii="Calibri" w:cs="Calibri" w:eastAsia="Calibri" w:hAnsi="Calibri"/>
                <w:b/>
                <w:bCs/>
                <w:color w:val="7FE2EF"/>
                <w:sz w:val="15"/>
                <w:szCs w:val="15"/>
              </w:rPr>
              <w:t xml:space="preserve">READ FIRST</w:t>
            </w:r>
          </w:p>
          <w:p>
            <w:pPr>
              <w:spacing w:before="40"/>
            </w:pPr>
            <w:r>
              <w:rPr>
                <w:rFonts w:ascii="Calibri" w:cs="Calibri" w:eastAsia="Calibri" w:hAnsi="Calibri"/>
                <w:b/>
                <w:bCs/>
                <w:color w:val="FFFFFF"/>
                <w:sz w:val="28"/>
                <w:szCs w:val="28"/>
              </w:rPr>
              <w:t xml:space="preserve">The customer — Cedarline Health Group</w:t>
            </w:r>
          </w:p>
        </w:tc>
      </w:tr>
    </w:tbl>
    <w:p>
      <w:pPr>
        <w:spacing w:before="120"/>
      </w:pPr>
    </w:p>
    <w:p>
      <w:pPr>
        <w:spacing w:after="120"/>
      </w:pPr>
      <w:r>
        <w:rPr>
          <w:rFonts w:ascii="Calibri" w:cs="Calibri" w:eastAsia="Calibri" w:hAnsi="Calibri"/>
          <w:color w:val="0E1A2B"/>
          <w:sz w:val="22"/>
          <w:szCs w:val="22"/>
        </w:rPr>
        <w:t xml:space="preserve">A regional healthcare payer-provider: ~8,000 staff across four hospitals and thirty-one clinics, plus a claims-processing business. It grew by acquisition — a second data centre absorbed as-is — and is mid-flight into public cloud, now running AI workloads across it. After a March security incident the board asked what would have stopped it, and leadership still can’t answer. Budget and executive attention are approved, but temporary.</w:t>
      </w:r>
    </w:p>
    <w:p>
      <w:pPr>
        <w:pStyle w:val="ListParagraph"/>
        <w:numPr>
          <w:ilvl w:val="0"/>
          <w:numId w:val="1"/>
        </w:numPr>
        <w:spacing w:after="60"/>
      </w:pPr>
      <w:r>
        <w:rPr>
          <w:rFonts w:ascii="Calibri" w:cs="Calibri" w:eastAsia="Calibri" w:hAnsi="Calibri"/>
          <w:color w:val="0E1A2B"/>
          <w:sz w:val="21"/>
          <w:szCs w:val="21"/>
        </w:rPr>
        <w:t xml:space="preserve">Campus &amp; clinics — hospitals, clinics, billing workstations, remote staff, plus thousands of IoT/unmanaged devices. TLS everywhere, so most traffic is encrypted.</w:t>
      </w:r>
    </w:p>
    <w:p>
      <w:pPr>
        <w:pStyle w:val="ListParagraph"/>
        <w:numPr>
          <w:ilvl w:val="0"/>
          <w:numId w:val="1"/>
        </w:numPr>
        <w:spacing w:after="60"/>
      </w:pPr>
      <w:r>
        <w:rPr>
          <w:rFonts w:ascii="Calibri" w:cs="Calibri" w:eastAsia="Calibri" w:hAnsi="Calibri"/>
          <w:color w:val="0E1A2B"/>
          <w:sz w:val="21"/>
          <w:szCs w:val="21"/>
        </w:rPr>
        <w:t xml:space="preserve">Two data centres — DC-1 (owned) is effectively flat; DC-2 (acquired) has an inherited rulebase nobody can prove. Three firewall consoles; two engineers hold the knowledge.</w:t>
      </w:r>
    </w:p>
    <w:p>
      <w:pPr>
        <w:pStyle w:val="ListParagraph"/>
        <w:numPr>
          <w:ilvl w:val="0"/>
          <w:numId w:val="1"/>
        </w:numPr>
        <w:spacing w:after="60"/>
      </w:pPr>
      <w:r>
        <w:rPr>
          <w:rFonts w:ascii="Calibri" w:cs="Calibri" w:eastAsia="Calibri" w:hAnsi="Calibri"/>
          <w:color w:val="0E1A2B"/>
          <w:sz w:val="21"/>
          <w:szCs w:val="21"/>
        </w:rPr>
        <w:t xml:space="preserve">Three public clouds + AI — AWS, Azure, GCP with live AI apps, models, agents and MCP tools appearing faster than security can track.</w:t>
      </w:r>
    </w:p>
    <w:tbl>
      <w:tblPr>
        <w:tblW w:type="dxa" w:w="10080"/>
        <w:tblBorders>
          <w:top w:val="none"/>
          <w:left w:val="single" w:color="B4700F" w:sz="20"/>
          <w:bottom w:val="none"/>
          <w:right w:val="none"/>
          <w:insideH w:val="none"/>
          <w:insideV w:val="none"/>
        </w:tblBorders>
      </w:tblPr>
      <w:tblGrid>
        <w:gridCol w:w="10080"/>
      </w:tblGrid>
      <w:tr>
        <w:tc>
          <w:tcPr>
            <w:tcW w:type="dxa" w:w="10080"/>
            <w:shd w:fill="FBF3E3" w:val="clear"/>
            <w:tcMar>
              <w:top w:type="dxa" w:w="100"/>
              <w:left w:type="dxa" w:w="170"/>
              <w:bottom w:type="dxa" w:w="100"/>
              <w:right w:type="dxa" w:w="150"/>
            </w:tcMar>
          </w:tcPr>
          <w:p>
            <w:r>
              <w:rPr>
                <w:rFonts w:ascii="Calibri" w:cs="Calibri" w:eastAsia="Calibri" w:hAnsi="Calibri"/>
                <w:b/>
                <w:bCs/>
                <w:color w:val="8a560f"/>
                <w:sz w:val="17"/>
                <w:szCs w:val="17"/>
              </w:rPr>
              <w:t xml:space="preserve">TIP  </w:t>
            </w:r>
            <w:r>
              <w:rPr>
                <w:rFonts w:ascii="Calibri" w:cs="Calibri" w:eastAsia="Calibri" w:hAnsi="Calibri"/>
                <w:color w:val="5f430c"/>
                <w:sz w:val="20"/>
                <w:szCs w:val="20"/>
              </w:rPr>
              <w:t xml:space="preserve">Name a product, not a category. Make your reasoning turn on something Cedarline actually said — that’s what scores highest.</w:t>
            </w:r>
          </w:p>
        </w:tc>
      </w:tr>
    </w:tbl>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036C8F" w:val="clear"/>
            <w:tcMar>
              <w:top w:type="dxa" w:w="150"/>
              <w:bottom w:type="dxa" w:w="150"/>
            </w:tcMar>
            <w:vAlign w:val="center"/>
          </w:tcPr>
          <w:p>
            <w:pPr>
              <w:jc w:val="center"/>
            </w:pPr>
            <w:r>
              <w:rPr>
                <w:rFonts w:ascii="Calibri" w:cs="Calibri" w:eastAsia="Calibri" w:hAnsi="Calibri"/>
                <w:b/>
                <w:bCs/>
                <w:color w:val="FFFFFF"/>
                <w:sz w:val="46"/>
                <w:szCs w:val="46"/>
              </w:rPr>
              <w:t xml:space="preserve">1</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036C8F"/>
                <w:sz w:val="15"/>
                <w:szCs w:val="15"/>
              </w:rPr>
              <w:t xml:space="preserve">USE CASE 1 OF 4 · AI DEFENSE · RUNTIME · COMPLIANCE · SUPPLY CHAIN</w:t>
            </w:r>
          </w:p>
          <w:p>
            <w:pPr>
              <w:spacing w:before="20"/>
            </w:pPr>
            <w:r>
              <w:rPr>
                <w:rFonts w:ascii="Calibri" w:cs="Calibri" w:eastAsia="Calibri" w:hAnsi="Calibri"/>
                <w:b/>
                <w:bCs/>
                <w:color w:val="0D274D"/>
                <w:sz w:val="32"/>
                <w:szCs w:val="32"/>
              </w:rPr>
              <w:t xml:space="preserve">AI Security</w:t>
            </w:r>
          </w:p>
        </w:tc>
      </w:tr>
    </w:tbl>
    <w:p>
      <w:pPr>
        <w:spacing w:before="80"/>
      </w:pPr>
      <w:r>
        <w:rPr>
          <w:rFonts w:ascii="Calibri" w:cs="Calibri" w:eastAsia="Calibri" w:hAnsi="Calibri"/>
          <w:b/>
          <w:bCs/>
          <w:color w:val="036C8F"/>
          <w:sz w:val="21"/>
          <w:szCs w:val="21"/>
        </w:rPr>
        <w:t xml:space="preserve">Why this matters.  </w:t>
      </w:r>
      <w:r>
        <w:rPr>
          <w:rFonts w:ascii="Calibri" w:cs="Calibri" w:eastAsia="Calibri" w:hAnsi="Calibri"/>
          <w:color w:val="0E1A2B"/>
          <w:sz w:val="21"/>
          <w:szCs w:val="21"/>
        </w:rPr>
        <w:t xml:space="preserve">Cedarline’s AI apps are live and exposed, and AI assets are spreading across the clouds faster than security can see them.</w:t>
      </w:r>
    </w:p>
    <w:tbl>
      <w:tblPr>
        <w:tblW w:type="dxa" w:w="10080"/>
        <w:tblBorders>
          <w:top w:val="none"/>
          <w:left w:val="single" w:color="B4700F" w:sz="20"/>
          <w:bottom w:val="none"/>
          <w:right w:val="none"/>
          <w:insideH w:val="none"/>
          <w:insideV w:val="none"/>
        </w:tblBorders>
      </w:tblPr>
      <w:tblGrid>
        <w:gridCol w:w="10080"/>
      </w:tblGrid>
      <w:tr>
        <w:tc>
          <w:tcPr>
            <w:tcW w:type="dxa" w:w="10080"/>
            <w:shd w:fill="FBF3E3" w:val="clear"/>
            <w:tcMar>
              <w:top w:type="dxa" w:w="100"/>
              <w:left w:type="dxa" w:w="170"/>
              <w:bottom w:type="dxa" w:w="100"/>
              <w:right w:type="dxa" w:w="150"/>
            </w:tcMar>
          </w:tcPr>
          <w:p>
            <w:r>
              <w:rPr>
                <w:rFonts w:ascii="Calibri" w:cs="Calibri" w:eastAsia="Calibri" w:hAnsi="Calibri"/>
                <w:b/>
                <w:bCs/>
                <w:color w:val="8a560f"/>
                <w:sz w:val="17"/>
                <w:szCs w:val="17"/>
              </w:rPr>
              <w:t xml:space="preserve">TIP  </w:t>
            </w:r>
            <w:r>
              <w:rPr>
                <w:rFonts w:ascii="Calibri" w:cs="Calibri" w:eastAsia="Calibri" w:hAnsi="Calibri"/>
                <w:color w:val="5f430c"/>
                <w:sz w:val="20"/>
                <w:szCs w:val="20"/>
              </w:rPr>
              <w:t xml:space="preserve">Most answers here are Cisco AI Defense capabilities — runtime guardrails, model/app validation, supply-chain scanning, AI cloud visibility — plus ISE for device visibility.</w:t>
            </w:r>
          </w:p>
        </w:tc>
      </w:tr>
    </w:tbl>
    <w:p>
      <w:pPr>
        <w:spacing w:after="80" w:before="60"/>
      </w:pPr>
      <w:r>
        <w:rPr>
          <w:rFonts w:ascii="Calibri" w:cs="Calibri" w:eastAsia="Calibri" w:hAnsi="Calibri"/>
          <w:color w:val="46566E"/>
          <w:sz w:val="20"/>
          <w:szCs w:val="20"/>
        </w:rPr>
        <w:t xml:space="preserve">This use case has 7 pain points. Answer the ones your proctor assigns — each use case is scored out of 100.</w:t>
      </w:r>
    </w:p>
    <w:p>
      <w:pPr>
        <w:spacing w:after="40" w:before="130"/>
      </w:pPr>
      <w:r>
        <w:rPr>
          <w:rFonts w:ascii="Calibri" w:cs="Calibri" w:eastAsia="Calibri" w:hAnsi="Calibri"/>
          <w:b/>
          <w:bCs/>
          <w:color w:val="036C8F"/>
          <w:sz w:val="18"/>
          <w:szCs w:val="18"/>
        </w:rPr>
        <w:t xml:space="preserve">PAIN POINT 1</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production AI applications are exposed to users, and we are worried about adversarial attacks like prompt injection or data exfiltration. How do we protect these apps in real-time without slowing down the user experience?"</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2</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3</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are integrating various open-source models and third-party agents into our internal workflows. How can we ensure these assets aren't introducing vulnerabilities into our environment before they even go live?"</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4</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thousands of IoT devices, printers, and guest users connecting to our network. We have no visibility into what these devices are or if they are compromised, leaving us vulnerable to unauthorized access."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5</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know AI is showing up across our cloud environments faster than security can track it. We’re worried we have models, agents, datasets, and MCP-connected tools running without visibility or consistent controls.”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6</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concerned that vulnerable or compromised models, repositories, or MCP servers could enter development before we catch them. Traditional controls aren’t designed to inspect the AI supply chain.”</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036C8F"/>
          <w:sz w:val="18"/>
          <w:szCs w:val="18"/>
        </w:rPr>
        <w:t xml:space="preserve">PAIN POINT 7</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036C8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c>
          <w:tcPr>
            <w:tcW w:type="dxa" w:w="3226"/>
            <w:shd w:fill="FBEBD3" w:val="clear"/>
            <w:tcMar>
              <w:top w:type="dxa" w:w="120"/>
              <w:left w:type="dxa" w:w="150"/>
              <w:bottom w:type="dxa" w:w="120"/>
              <w:right w:type="dxa" w:w="150"/>
            </w:tcMar>
          </w:tcPr>
          <w:p>
            <w:r>
              <w:rPr>
                <w:rFonts w:ascii="Calibri" w:cs="Calibri" w:eastAsia="Calibri" w:hAnsi="Calibri"/>
                <w:b/>
                <w:bCs/>
                <w:color w:val="8a560f"/>
                <w:sz w:val="16"/>
                <w:szCs w:val="16"/>
              </w:rPr>
              <w:t xml:space="preserve">PROCTOR — SCORE</w:t>
            </w:r>
          </w:p>
          <w:p>
            <w:pPr>
              <w:spacing w:before="110"/>
            </w:pPr>
            <w:r>
              <w:rPr>
                <w:rFonts w:ascii="Calibri" w:cs="Calibri" w:eastAsia="Calibri" w:hAnsi="Calibri"/>
                <w:b/>
                <w:bCs/>
                <w:color w:val="0D274D"/>
                <w:sz w:val="24"/>
                <w:szCs w:val="24"/>
              </w:rPr>
              <w:t xml:space="preserve">________ / 100</w:t>
            </w:r>
          </w:p>
        </w:tc>
        <w:tc>
          <w:tcPr>
            <w:tcW w:type="dxa" w:w="6854"/>
            <w:tcMar>
              <w:top w:type="dxa" w:w="120"/>
              <w:left w:type="dxa" w:w="150"/>
              <w:bottom w:type="dxa" w:w="120"/>
              <w:right w:type="dxa" w:w="150"/>
            </w:tcMar>
          </w:tcPr>
          <w:p>
            <w:r>
              <w:rPr>
                <w:rFonts w:ascii="Calibri" w:cs="Calibri" w:eastAsia="Calibri" w:hAnsi="Calibri"/>
                <w:b/>
                <w:bCs/>
                <w:color w:val="46566E"/>
                <w:sz w:val="16"/>
                <w:szCs w:val="16"/>
              </w:rPr>
              <w:t xml:space="preserve">Notes</w:t>
            </w:r>
          </w:p>
          <w:p>
            <w:pPr>
              <w:pBdr>
                <w:bottom w:val="single" w:color="C6D0DE" w:sz="4"/>
              </w:pBdr>
              <w:spacing w:before="160"/>
            </w:pPr>
          </w:p>
          <w:p>
            <w:pPr>
              <w:pBdr>
                <w:bottom w:val="single" w:color="C6D0DE" w:sz="4"/>
              </w:pBdr>
              <w:spacing w:before="160"/>
            </w:pPr>
          </w:p>
        </w:tc>
      </w:tr>
    </w:tbl>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2A6FB0" w:val="clear"/>
            <w:tcMar>
              <w:top w:type="dxa" w:w="150"/>
              <w:bottom w:type="dxa" w:w="150"/>
            </w:tcMar>
            <w:vAlign w:val="center"/>
          </w:tcPr>
          <w:p>
            <w:pPr>
              <w:jc w:val="center"/>
            </w:pPr>
            <w:r>
              <w:rPr>
                <w:rFonts w:ascii="Calibri" w:cs="Calibri" w:eastAsia="Calibri" w:hAnsi="Calibri"/>
                <w:b/>
                <w:bCs/>
                <w:color w:val="FFFFFF"/>
                <w:sz w:val="46"/>
                <w:szCs w:val="46"/>
              </w:rPr>
              <w:t xml:space="preserve">2</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2A6FB0"/>
                <w:sz w:val="15"/>
                <w:szCs w:val="15"/>
              </w:rPr>
              <w:t xml:space="preserve">USE CASE 2 OF 4 · MULTICLOUD · CONSISTENCY &amp; CONTAINMENT</w:t>
            </w:r>
          </w:p>
          <w:p>
            <w:pPr>
              <w:spacing w:before="20"/>
            </w:pPr>
            <w:r>
              <w:rPr>
                <w:rFonts w:ascii="Calibri" w:cs="Calibri" w:eastAsia="Calibri" w:hAnsi="Calibri"/>
                <w:b/>
                <w:bCs/>
                <w:color w:val="0D274D"/>
                <w:sz w:val="32"/>
                <w:szCs w:val="32"/>
              </w:rPr>
              <w:t xml:space="preserve">Cloud Edge</w:t>
            </w:r>
          </w:p>
        </w:tc>
      </w:tr>
    </w:tbl>
    <w:p>
      <w:pPr>
        <w:spacing w:before="80"/>
      </w:pPr>
      <w:r>
        <w:rPr>
          <w:rFonts w:ascii="Calibri" w:cs="Calibri" w:eastAsia="Calibri" w:hAnsi="Calibri"/>
          <w:b/>
          <w:bCs/>
          <w:color w:val="2A6FB0"/>
          <w:sz w:val="21"/>
          <w:szCs w:val="21"/>
        </w:rPr>
        <w:t xml:space="preserve">Why this matters.  </w:t>
      </w:r>
      <w:r>
        <w:rPr>
          <w:rFonts w:ascii="Calibri" w:cs="Calibri" w:eastAsia="Calibri" w:hAnsi="Calibri"/>
          <w:color w:val="0E1A2B"/>
          <w:sz w:val="21"/>
          <w:szCs w:val="21"/>
        </w:rPr>
        <w:t xml:space="preserve">Workloads sprawl across AWS, Azure, GCP and on-prem — inconsistent policy, drift, and lateral-movement risk.</w:t>
      </w:r>
    </w:p>
    <w:tbl>
      <w:tblPr>
        <w:tblW w:type="dxa" w:w="10080"/>
        <w:tblBorders>
          <w:top w:val="none"/>
          <w:left w:val="single" w:color="B4700F" w:sz="20"/>
          <w:bottom w:val="none"/>
          <w:right w:val="none"/>
          <w:insideH w:val="none"/>
          <w:insideV w:val="none"/>
        </w:tblBorders>
      </w:tblPr>
      <w:tblGrid>
        <w:gridCol w:w="10080"/>
      </w:tblGrid>
      <w:tr>
        <w:tc>
          <w:tcPr>
            <w:tcW w:type="dxa" w:w="10080"/>
            <w:shd w:fill="FBF3E3" w:val="clear"/>
            <w:tcMar>
              <w:top w:type="dxa" w:w="100"/>
              <w:left w:type="dxa" w:w="170"/>
              <w:bottom w:type="dxa" w:w="100"/>
              <w:right w:type="dxa" w:w="150"/>
            </w:tcMar>
          </w:tcPr>
          <w:p>
            <w:r>
              <w:rPr>
                <w:rFonts w:ascii="Calibri" w:cs="Calibri" w:eastAsia="Calibri" w:hAnsi="Calibri"/>
                <w:b/>
                <w:bCs/>
                <w:color w:val="8a560f"/>
                <w:sz w:val="17"/>
                <w:szCs w:val="17"/>
              </w:rPr>
              <w:t xml:space="preserve">TIP  </w:t>
            </w:r>
            <w:r>
              <w:rPr>
                <w:rFonts w:ascii="Calibri" w:cs="Calibri" w:eastAsia="Calibri" w:hAnsi="Calibri"/>
                <w:color w:val="5f430c"/>
                <w:sz w:val="20"/>
                <w:szCs w:val="20"/>
              </w:rPr>
              <w:t xml:space="preserve">Think one control plane: Multicloud Defense + Security Cloud Control; ISE for consistent identity.</w:t>
            </w:r>
          </w:p>
        </w:tc>
      </w:tr>
    </w:tbl>
    <w:p>
      <w:pPr>
        <w:spacing w:after="80" w:before="60"/>
      </w:pPr>
      <w:r>
        <w:rPr>
          <w:rFonts w:ascii="Calibri" w:cs="Calibri" w:eastAsia="Calibri" w:hAnsi="Calibri"/>
          <w:color w:val="46566E"/>
          <w:sz w:val="20"/>
          <w:szCs w:val="20"/>
        </w:rPr>
        <w:t xml:space="preserve">This use case has 6 pain points. Answer the ones your proctor assigns — each use case is scored out of 100.</w:t>
      </w:r>
    </w:p>
    <w:p>
      <w:pPr>
        <w:spacing w:after="40" w:before="130"/>
      </w:pPr>
      <w:r>
        <w:rPr>
          <w:rFonts w:ascii="Calibri" w:cs="Calibri" w:eastAsia="Calibri" w:hAnsi="Calibri"/>
          <w:b/>
          <w:bCs/>
          <w:color w:val="2A6FB0"/>
          <w:sz w:val="18"/>
          <w:szCs w:val="18"/>
        </w:rPr>
        <w:t xml:space="preserve">PAIN POINT 1</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deploying across AWS, Azure, and GCP, but each cloud has its own constructs and workflows.”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2A6FB0"/>
          <w:sz w:val="18"/>
          <w:szCs w:val="18"/>
        </w:rPr>
        <w:t xml:space="preserve">PAIN POINT 2</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"If a breach occurs in one of our public cloud instances, we are terrified that the attacker will move laterally into our core on-premises systems. How can we contain these threats in a multicloud environment?"</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2A6FB0"/>
          <w:sz w:val="18"/>
          <w:szCs w:val="18"/>
        </w:rPr>
        <w:t xml:space="preserve">PAIN POINT 3</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auditors require proof that our security controls are applied consistently across all our cloud workloads. Gathering this data from different cloud providers is a manual, time-consuming nightmare."</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2A6FB0"/>
          <w:sz w:val="18"/>
          <w:szCs w:val="18"/>
        </w:rPr>
        <w:t xml:space="preserve">PAIN POINT 4</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employees work from the office, home, and coffee shops. We are struggling to maintain a consistent security policy across these different locations, leading to complex, fragmented rule sets that are hard to manage."</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2A6FB0"/>
          <w:sz w:val="18"/>
          <w:szCs w:val="18"/>
        </w:rPr>
        <w:t xml:space="preserve">PAIN POINT 5</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workloads spread across AWS, Azure, and on-premises data centers. Managing security policies individually in each cloud environment is creating massive operational overhead and leading to inconsistent security posture."</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2A6FB0"/>
          <w:sz w:val="18"/>
          <w:szCs w:val="18"/>
        </w:rPr>
        <w:t xml:space="preserve">PAIN POINT 6</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workloads on-prem, in cloud, and in mixed environments, and policy consistency is becoming difficult. Every environment feels different, and we’re worried about drift.”</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2A6FB0"/>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c>
          <w:tcPr>
            <w:tcW w:type="dxa" w:w="3226"/>
            <w:shd w:fill="FBEBD3" w:val="clear"/>
            <w:tcMar>
              <w:top w:type="dxa" w:w="120"/>
              <w:left w:type="dxa" w:w="150"/>
              <w:bottom w:type="dxa" w:w="120"/>
              <w:right w:type="dxa" w:w="150"/>
            </w:tcMar>
          </w:tcPr>
          <w:p>
            <w:r>
              <w:rPr>
                <w:rFonts w:ascii="Calibri" w:cs="Calibri" w:eastAsia="Calibri" w:hAnsi="Calibri"/>
                <w:b/>
                <w:bCs/>
                <w:color w:val="8a560f"/>
                <w:sz w:val="16"/>
                <w:szCs w:val="16"/>
              </w:rPr>
              <w:t xml:space="preserve">PROCTOR — SCORE</w:t>
            </w:r>
          </w:p>
          <w:p>
            <w:pPr>
              <w:spacing w:before="110"/>
            </w:pPr>
            <w:r>
              <w:rPr>
                <w:rFonts w:ascii="Calibri" w:cs="Calibri" w:eastAsia="Calibri" w:hAnsi="Calibri"/>
                <w:b/>
                <w:bCs/>
                <w:color w:val="0D274D"/>
                <w:sz w:val="24"/>
                <w:szCs w:val="24"/>
              </w:rPr>
              <w:t xml:space="preserve">________ / 100</w:t>
            </w:r>
          </w:p>
        </w:tc>
        <w:tc>
          <w:tcPr>
            <w:tcW w:type="dxa" w:w="6854"/>
            <w:tcMar>
              <w:top w:type="dxa" w:w="120"/>
              <w:left w:type="dxa" w:w="150"/>
              <w:bottom w:type="dxa" w:w="120"/>
              <w:right w:type="dxa" w:w="150"/>
            </w:tcMar>
          </w:tcPr>
          <w:p>
            <w:r>
              <w:rPr>
                <w:rFonts w:ascii="Calibri" w:cs="Calibri" w:eastAsia="Calibri" w:hAnsi="Calibri"/>
                <w:b/>
                <w:bCs/>
                <w:color w:val="46566E"/>
                <w:sz w:val="16"/>
                <w:szCs w:val="16"/>
              </w:rPr>
              <w:t xml:space="preserve">Notes</w:t>
            </w:r>
          </w:p>
          <w:p>
            <w:pPr>
              <w:pBdr>
                <w:bottom w:val="single" w:color="C6D0DE" w:sz="4"/>
              </w:pBdr>
              <w:spacing w:before="160"/>
            </w:pPr>
          </w:p>
          <w:p>
            <w:pPr>
              <w:pBdr>
                <w:bottom w:val="single" w:color="C6D0DE" w:sz="4"/>
              </w:pBdr>
              <w:spacing w:before="160"/>
            </w:pPr>
          </w:p>
        </w:tc>
      </w:tr>
    </w:tbl>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B4700F" w:val="clear"/>
            <w:tcMar>
              <w:top w:type="dxa" w:w="150"/>
              <w:bottom w:type="dxa" w:w="150"/>
            </w:tcMar>
            <w:vAlign w:val="center"/>
          </w:tcPr>
          <w:p>
            <w:pPr>
              <w:jc w:val="center"/>
            </w:pPr>
            <w:r>
              <w:rPr>
                <w:rFonts w:ascii="Calibri" w:cs="Calibri" w:eastAsia="Calibri" w:hAnsi="Calibri"/>
                <w:b/>
                <w:bCs/>
                <w:color w:val="FFFFFF"/>
                <w:sz w:val="46"/>
                <w:szCs w:val="46"/>
              </w:rPr>
              <w:t xml:space="preserve">3</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B4700F"/>
                <w:sz w:val="15"/>
                <w:szCs w:val="15"/>
              </w:rPr>
              <w:t xml:space="preserve">USE CASE 3 OF 4 · PERIMETER · VISIBILITY &amp; POLICY</w:t>
            </w:r>
          </w:p>
          <w:p>
            <w:pPr>
              <w:spacing w:before="20"/>
            </w:pPr>
            <w:r>
              <w:rPr>
                <w:rFonts w:ascii="Calibri" w:cs="Calibri" w:eastAsia="Calibri" w:hAnsi="Calibri"/>
                <w:b/>
                <w:bCs/>
                <w:color w:val="0D274D"/>
                <w:sz w:val="32"/>
                <w:szCs w:val="32"/>
              </w:rPr>
              <w:t xml:space="preserve">DC Edge · Perimeter Firewall</w:t>
            </w:r>
          </w:p>
        </w:tc>
      </w:tr>
    </w:tbl>
    <w:p>
      <w:pPr>
        <w:spacing w:before="80"/>
      </w:pPr>
      <w:r>
        <w:rPr>
          <w:rFonts w:ascii="Calibri" w:cs="Calibri" w:eastAsia="Calibri" w:hAnsi="Calibri"/>
          <w:b/>
          <w:bCs/>
          <w:color w:val="B4700F"/>
          <w:sz w:val="21"/>
          <w:szCs w:val="21"/>
        </w:rPr>
        <w:t xml:space="preserve">Why this matters.  </w:t>
      </w:r>
      <w:r>
        <w:rPr>
          <w:rFonts w:ascii="Calibri" w:cs="Calibri" w:eastAsia="Calibri" w:hAnsi="Calibri"/>
          <w:color w:val="0E1A2B"/>
          <w:sz w:val="21"/>
          <w:szCs w:val="21"/>
        </w:rPr>
        <w:t xml:space="preserve">A complex, mixed-vendor firewall estate with encrypted blind spots, unknown threats, and slow manual response.</w:t>
      </w:r>
    </w:p>
    <w:tbl>
      <w:tblPr>
        <w:tblW w:type="dxa" w:w="10080"/>
        <w:tblBorders>
          <w:top w:val="none"/>
          <w:left w:val="single" w:color="B4700F" w:sz="20"/>
          <w:bottom w:val="none"/>
          <w:right w:val="none"/>
          <w:insideH w:val="none"/>
          <w:insideV w:val="none"/>
        </w:tblBorders>
      </w:tblPr>
      <w:tblGrid>
        <w:gridCol w:w="10080"/>
      </w:tblGrid>
      <w:tr>
        <w:tc>
          <w:tcPr>
            <w:tcW w:type="dxa" w:w="10080"/>
            <w:shd w:fill="FBF3E3" w:val="clear"/>
            <w:tcMar>
              <w:top w:type="dxa" w:w="100"/>
              <w:left w:type="dxa" w:w="170"/>
              <w:bottom w:type="dxa" w:w="100"/>
              <w:right w:type="dxa" w:w="150"/>
            </w:tcMar>
          </w:tcPr>
          <w:p>
            <w:r>
              <w:rPr>
                <w:rFonts w:ascii="Calibri" w:cs="Calibri" w:eastAsia="Calibri" w:hAnsi="Calibri"/>
                <w:b/>
                <w:bCs/>
                <w:color w:val="8a560f"/>
                <w:sz w:val="17"/>
                <w:szCs w:val="17"/>
              </w:rPr>
              <w:t xml:space="preserve">TIP  </w:t>
            </w:r>
            <w:r>
              <w:rPr>
                <w:rFonts w:ascii="Calibri" w:cs="Calibri" w:eastAsia="Calibri" w:hAnsi="Calibri"/>
                <w:color w:val="5f430c"/>
                <w:sz w:val="20"/>
                <w:szCs w:val="20"/>
              </w:rPr>
              <w:t xml:space="preserve">Secure Firewall + FMC + Security Cloud Control; EVE for encrypted visibility, Snort ML for unknown threats, ISE for automated response.</w:t>
            </w:r>
          </w:p>
        </w:tc>
      </w:tr>
    </w:tbl>
    <w:p>
      <w:pPr>
        <w:spacing w:after="80" w:before="60"/>
      </w:pPr>
      <w:r>
        <w:rPr>
          <w:rFonts w:ascii="Calibri" w:cs="Calibri" w:eastAsia="Calibri" w:hAnsi="Calibri"/>
          <w:color w:val="46566E"/>
          <w:sz w:val="20"/>
          <w:szCs w:val="20"/>
        </w:rPr>
        <w:t xml:space="preserve">This use case has 5 pain points. Answer the ones your proctor assigns — each use case is scored out of 100.</w:t>
      </w:r>
    </w:p>
    <w:p>
      <w:pPr>
        <w:spacing w:after="40" w:before="130"/>
      </w:pPr>
      <w:r>
        <w:rPr>
          <w:rFonts w:ascii="Calibri" w:cs="Calibri" w:eastAsia="Calibri" w:hAnsi="Calibri"/>
          <w:b/>
          <w:bCs/>
          <w:color w:val="B4700F"/>
          <w:sz w:val="18"/>
          <w:szCs w:val="18"/>
        </w:rPr>
        <w:t xml:space="preserve">PAIN POINT 1</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"When our security tools detect a compromised device, our manual response time is too slow. By the time we identify the user and manually isolate the port, the attacker has already moved through the network."</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B4700F"/>
          <w:sz w:val="18"/>
          <w:szCs w:val="18"/>
        </w:rPr>
        <w:t xml:space="preserve">PAIN POINT 2</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worried that once an attacker gets into the environment, they can move laterally across applications.”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B4700F"/>
          <w:sz w:val="18"/>
          <w:szCs w:val="18"/>
        </w:rPr>
        <w:t xml:space="preserve">PAIN POINT 3</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firewall environment has become too complex to manage manually.”</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B4700F"/>
          <w:sz w:val="18"/>
          <w:szCs w:val="18"/>
        </w:rPr>
        <w:t xml:space="preserve">PAIN POINT 4</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“Most of our traffic is encrypted, so we’ve lost visibility into a huge part of our environment.”</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B4700F"/>
          <w:sz w:val="18"/>
          <w:szCs w:val="18"/>
        </w:rPr>
        <w:t xml:space="preserve">PAIN POINT 5</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worried traditional signature-based detection won’t catch new or unknown attacks quickly enough.”</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B4700F"/>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c>
          <w:tcPr>
            <w:tcW w:type="dxa" w:w="3226"/>
            <w:shd w:fill="FBEBD3" w:val="clear"/>
            <w:tcMar>
              <w:top w:type="dxa" w:w="120"/>
              <w:left w:type="dxa" w:w="150"/>
              <w:bottom w:type="dxa" w:w="120"/>
              <w:right w:type="dxa" w:w="150"/>
            </w:tcMar>
          </w:tcPr>
          <w:p>
            <w:r>
              <w:rPr>
                <w:rFonts w:ascii="Calibri" w:cs="Calibri" w:eastAsia="Calibri" w:hAnsi="Calibri"/>
                <w:b/>
                <w:bCs/>
                <w:color w:val="8a560f"/>
                <w:sz w:val="16"/>
                <w:szCs w:val="16"/>
              </w:rPr>
              <w:t xml:space="preserve">PROCTOR — SCORE</w:t>
            </w:r>
          </w:p>
          <w:p>
            <w:pPr>
              <w:spacing w:before="110"/>
            </w:pPr>
            <w:r>
              <w:rPr>
                <w:rFonts w:ascii="Calibri" w:cs="Calibri" w:eastAsia="Calibri" w:hAnsi="Calibri"/>
                <w:b/>
                <w:bCs/>
                <w:color w:val="0D274D"/>
                <w:sz w:val="24"/>
                <w:szCs w:val="24"/>
              </w:rPr>
              <w:t xml:space="preserve">________ / 100</w:t>
            </w:r>
          </w:p>
        </w:tc>
        <w:tc>
          <w:tcPr>
            <w:tcW w:type="dxa" w:w="6854"/>
            <w:tcMar>
              <w:top w:type="dxa" w:w="120"/>
              <w:left w:type="dxa" w:w="150"/>
              <w:bottom w:type="dxa" w:w="120"/>
              <w:right w:type="dxa" w:w="150"/>
            </w:tcMar>
          </w:tcPr>
          <w:p>
            <w:r>
              <w:rPr>
                <w:rFonts w:ascii="Calibri" w:cs="Calibri" w:eastAsia="Calibri" w:hAnsi="Calibri"/>
                <w:b/>
                <w:bCs/>
                <w:color w:val="46566E"/>
                <w:sz w:val="16"/>
                <w:szCs w:val="16"/>
              </w:rPr>
              <w:t xml:space="preserve">Notes</w:t>
            </w:r>
          </w:p>
          <w:p>
            <w:pPr>
              <w:pBdr>
                <w:bottom w:val="single" w:color="C6D0DE" w:sz="4"/>
              </w:pBdr>
              <w:spacing w:before="160"/>
            </w:pPr>
          </w:p>
          <w:p>
            <w:pPr>
              <w:pBdr>
                <w:bottom w:val="single" w:color="C6D0DE" w:sz="4"/>
              </w:pBdr>
              <w:spacing w:before="160"/>
            </w:pPr>
          </w:p>
        </w:tc>
      </w:tr>
    </w:tbl>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1C7A58" w:val="clear"/>
            <w:tcMar>
              <w:top w:type="dxa" w:w="150"/>
              <w:bottom w:type="dxa" w:w="150"/>
            </w:tcMar>
            <w:vAlign w:val="center"/>
          </w:tcPr>
          <w:p>
            <w:pPr>
              <w:jc w:val="center"/>
            </w:pPr>
            <w:r>
              <w:rPr>
                <w:rFonts w:ascii="Calibri" w:cs="Calibri" w:eastAsia="Calibri" w:hAnsi="Calibri"/>
                <w:b/>
                <w:bCs/>
                <w:color w:val="FFFFFF"/>
                <w:sz w:val="46"/>
                <w:szCs w:val="46"/>
              </w:rPr>
              <w:t xml:space="preserve">4</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1C7A58"/>
                <w:sz w:val="15"/>
                <w:szCs w:val="15"/>
              </w:rPr>
              <w:t xml:space="preserve">USE CASE 4 OF 4 · EAST-WEST · WORKLOAD &amp; KUBERNETES</w:t>
            </w:r>
          </w:p>
          <w:p>
            <w:pPr>
              <w:spacing w:before="20"/>
            </w:pPr>
            <w:r>
              <w:rPr>
                <w:rFonts w:ascii="Calibri" w:cs="Calibri" w:eastAsia="Calibri" w:hAnsi="Calibri"/>
                <w:b/>
                <w:bCs/>
                <w:color w:val="0D274D"/>
                <w:sz w:val="32"/>
                <w:szCs w:val="32"/>
              </w:rPr>
              <w:t xml:space="preserve">Macro &amp; Micro Segmentation</w:t>
            </w:r>
          </w:p>
        </w:tc>
      </w:tr>
    </w:tbl>
    <w:p>
      <w:pPr>
        <w:spacing w:before="80"/>
      </w:pPr>
      <w:r>
        <w:rPr>
          <w:rFonts w:ascii="Calibri" w:cs="Calibri" w:eastAsia="Calibri" w:hAnsi="Calibri"/>
          <w:b/>
          <w:bCs/>
          <w:color w:val="1C7A58"/>
          <w:sz w:val="21"/>
          <w:szCs w:val="21"/>
        </w:rPr>
        <w:t xml:space="preserve">Why this matters.  </w:t>
      </w:r>
      <w:r>
        <w:rPr>
          <w:rFonts w:ascii="Calibri" w:cs="Calibri" w:eastAsia="Calibri" w:hAnsi="Calibri"/>
          <w:color w:val="0E1A2B"/>
          <w:sz w:val="21"/>
          <w:szCs w:val="21"/>
        </w:rPr>
        <w:t xml:space="preserve">The data centre and Kubernetes are wide open east-west; policy must follow the workload, safely.</w:t>
      </w:r>
    </w:p>
    <w:tbl>
      <w:tblPr>
        <w:tblW w:type="dxa" w:w="10080"/>
        <w:tblBorders>
          <w:top w:val="none"/>
          <w:left w:val="single" w:color="B4700F" w:sz="20"/>
          <w:bottom w:val="none"/>
          <w:right w:val="none"/>
          <w:insideH w:val="none"/>
          <w:insideV w:val="none"/>
        </w:tblBorders>
      </w:tblPr>
      <w:tblGrid>
        <w:gridCol w:w="10080"/>
      </w:tblGrid>
      <w:tr>
        <w:tc>
          <w:tcPr>
            <w:tcW w:type="dxa" w:w="10080"/>
            <w:shd w:fill="FBF3E3" w:val="clear"/>
            <w:tcMar>
              <w:top w:type="dxa" w:w="100"/>
              <w:left w:type="dxa" w:w="170"/>
              <w:bottom w:type="dxa" w:w="100"/>
              <w:right w:type="dxa" w:w="150"/>
            </w:tcMar>
          </w:tcPr>
          <w:p>
            <w:r>
              <w:rPr>
                <w:rFonts w:ascii="Calibri" w:cs="Calibri" w:eastAsia="Calibri" w:hAnsi="Calibri"/>
                <w:b/>
                <w:bCs/>
                <w:color w:val="8a560f"/>
                <w:sz w:val="17"/>
                <w:szCs w:val="17"/>
              </w:rPr>
              <w:t xml:space="preserve">TIP  </w:t>
            </w:r>
            <w:r>
              <w:rPr>
                <w:rFonts w:ascii="Calibri" w:cs="Calibri" w:eastAsia="Calibri" w:hAnsi="Calibri"/>
                <w:color w:val="5f430c"/>
                <w:sz w:val="20"/>
                <w:szCs w:val="20"/>
              </w:rPr>
              <w:t xml:space="preserve">Secure Workload for dependency-aware policy, Hypershield / N9300 for fabric enforcement, Isovalent Cilium + Tetragon for Kubernetes.</w:t>
            </w:r>
          </w:p>
        </w:tc>
      </w:tr>
    </w:tbl>
    <w:p>
      <w:pPr>
        <w:spacing w:after="80" w:before="60"/>
      </w:pPr>
      <w:r>
        <w:rPr>
          <w:rFonts w:ascii="Calibri" w:cs="Calibri" w:eastAsia="Calibri" w:hAnsi="Calibri"/>
          <w:color w:val="46566E"/>
          <w:sz w:val="20"/>
          <w:szCs w:val="20"/>
        </w:rPr>
        <w:t xml:space="preserve">This use case has 9 pain points. Answer the ones your proctor assigns — each use case is scored out of 100.</w:t>
      </w:r>
    </w:p>
    <w:p>
      <w:pPr>
        <w:spacing w:after="40" w:before="130"/>
      </w:pPr>
      <w:r>
        <w:rPr>
          <w:rFonts w:ascii="Calibri" w:cs="Calibri" w:eastAsia="Calibri" w:hAnsi="Calibri"/>
          <w:b/>
          <w:bCs/>
          <w:color w:val="1C7A58"/>
          <w:sz w:val="18"/>
          <w:szCs w:val="18"/>
        </w:rPr>
        <w:t xml:space="preserve">PAIN POINT 1</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don’t feel like we have enough control over east-west movement inside the data center.”</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2</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“Network policy helps, but we also need to know what’s happening at runtime inside the workload. We need better detection of suspicious behavior and policy violations.”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3</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Kubernetes environment changes too fast for traditional segmentation approaches. We need policy at the service and container level, with visibility into microservice communication.”</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4</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Kubernetes networking feels fragmented across clusters and environments. We’re dealing with too many moving parts, inconsistent policies, and too much operational complexity.”</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5</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“Pods and services are constantly changing, so traditional IP-based policy is hard to maintain. We need segmentation that actually follows the application.”</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6</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“Right now we’re stitching together separate tools for networking, security, and observability in Kubernetes, and it’s creating too much overhead.”</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7</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know we need microsegmentation, but we don’t have enough visibility into east-west flows or application dependencies to create policy safely. We don’t want to break the application.”</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8</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like the idea of workload-level enforcement, but in some environments we can’t install agents on every system. We still need segmentation coverage for those workloads.”</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after="40" w:before="130"/>
      </w:pPr>
      <w:r>
        <w:rPr>
          <w:rFonts w:ascii="Calibri" w:cs="Calibri" w:eastAsia="Calibri" w:hAnsi="Calibri"/>
          <w:b/>
          <w:bCs/>
          <w:color w:val="1C7A58"/>
          <w:sz w:val="18"/>
          <w:szCs w:val="18"/>
        </w:rPr>
        <w:t xml:space="preserve">PAIN POINT 9</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need Kubernetes networking and security that can perform at scale, support mission-critical workloads, and integrate with the rest of our enterprise tooling.”</w:t>
            </w:r>
          </w:p>
        </w:tc>
      </w:tr>
    </w:tbl>
    <w:p>
      <w:pPr>
        <w:spacing w:after="4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Product / platform</w:t>
            </w:r>
          </w:p>
          <w:p>
            <w:pPr>
              <w:pBdr>
                <w:bottom w:val="single" w:color="C6D0DE" w:sz="4" w:space="4"/>
              </w:pBdr>
              <w:spacing w:before="190"/>
            </w:pPr>
          </w:p>
        </w:tc>
      </w:tr>
    </w:tbl>
    <w:p>
      <w:pPr>
        <w:spacing w:after="30"/>
      </w:pPr>
    </w:p>
    <w:tbl>
      <w:tblPr>
        <w:tblW w:type="dxa" w:w="10080"/>
        <w:tblBorders>
          <w:top w:val="single" w:color="D8E0EC" w:sz="4"/>
          <w:left w:val="single" w:color="D8E0EC" w:sz="4"/>
          <w:bottom w:val="single" w:color="D8E0EC" w:sz="4"/>
          <w:right w:val="single" w:color="D8E0EC" w:sz="4"/>
          <w:insideH w:val="single" w:color="auto" w:sz="4"/>
          <w:insideV w:val="single" w:color="auto" w:sz="4"/>
        </w:tblBorders>
      </w:tblPr>
      <w:tblGrid>
        <w:gridCol w:w="10080"/>
      </w:tblGrid>
      <w:tr>
        <w:tc>
          <w:tcPr>
            <w:tcW w:type="dxa" w:w="10080"/>
            <w:shd w:fill="FCFDFF" w:val="clear"/>
            <w:tcMar>
              <w:top w:type="dxa" w:w="110"/>
              <w:left w:type="dxa" w:w="170"/>
              <w:bottom w:type="dxa" w:w="150"/>
              <w:right w:type="dxa" w:w="170"/>
            </w:tcMar>
          </w:tcPr>
          <w:p>
            <w:r>
              <w:rPr>
                <w:rFonts w:ascii="Calibri" w:cs="Calibri" w:eastAsia="Calibri" w:hAnsi="Calibri"/>
                <w:b/>
                <w:bCs/>
                <w:color w:val="1C7A58"/>
                <w:sz w:val="19"/>
                <w:szCs w:val="19"/>
              </w:rPr>
              <w:t xml:space="preserve">SE response — how it addresses the concern &amp; how it helps</w:t>
            </w:r>
          </w:p>
          <w:p>
            <w:pPr>
              <w:pBdr>
                <w:bottom w:val="single" w:color="C6D0DE" w:sz="4" w:space="4"/>
              </w:pBdr>
              <w:spacing w:before="190"/>
            </w:pPr>
          </w:p>
          <w:p>
            <w:pPr>
              <w:pBdr>
                <w:bottom w:val="single" w:color="C6D0DE" w:sz="4" w:space="4"/>
              </w:pBdr>
              <w:spacing w:before="190"/>
            </w:pPr>
          </w:p>
          <w:p>
            <w:pPr>
              <w:pBdr>
                <w:bottom w:val="single" w:color="C6D0DE" w:sz="4" w:space="4"/>
              </w:pBdr>
              <w:spacing w:before="190"/>
            </w:pPr>
          </w:p>
        </w:tc>
      </w:tr>
    </w:tbl>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c>
          <w:tcPr>
            <w:tcW w:type="dxa" w:w="3226"/>
            <w:shd w:fill="FBEBD3" w:val="clear"/>
            <w:tcMar>
              <w:top w:type="dxa" w:w="120"/>
              <w:left w:type="dxa" w:w="150"/>
              <w:bottom w:type="dxa" w:w="120"/>
              <w:right w:type="dxa" w:w="150"/>
            </w:tcMar>
          </w:tcPr>
          <w:p>
            <w:r>
              <w:rPr>
                <w:rFonts w:ascii="Calibri" w:cs="Calibri" w:eastAsia="Calibri" w:hAnsi="Calibri"/>
                <w:b/>
                <w:bCs/>
                <w:color w:val="8a560f"/>
                <w:sz w:val="16"/>
                <w:szCs w:val="16"/>
              </w:rPr>
              <w:t xml:space="preserve">PROCTOR — SCORE</w:t>
            </w:r>
          </w:p>
          <w:p>
            <w:pPr>
              <w:spacing w:before="110"/>
            </w:pPr>
            <w:r>
              <w:rPr>
                <w:rFonts w:ascii="Calibri" w:cs="Calibri" w:eastAsia="Calibri" w:hAnsi="Calibri"/>
                <w:b/>
                <w:bCs/>
                <w:color w:val="0D274D"/>
                <w:sz w:val="24"/>
                <w:szCs w:val="24"/>
              </w:rPr>
              <w:t xml:space="preserve">________ / 100</w:t>
            </w:r>
          </w:p>
        </w:tc>
        <w:tc>
          <w:tcPr>
            <w:tcW w:type="dxa" w:w="6854"/>
            <w:tcMar>
              <w:top w:type="dxa" w:w="120"/>
              <w:left w:type="dxa" w:w="150"/>
              <w:bottom w:type="dxa" w:w="120"/>
              <w:right w:type="dxa" w:w="150"/>
            </w:tcMar>
          </w:tcPr>
          <w:p>
            <w:r>
              <w:rPr>
                <w:rFonts w:ascii="Calibri" w:cs="Calibri" w:eastAsia="Calibri" w:hAnsi="Calibri"/>
                <w:b/>
                <w:bCs/>
                <w:color w:val="46566E"/>
                <w:sz w:val="16"/>
                <w:szCs w:val="16"/>
              </w:rPr>
              <w:t xml:space="preserve">Notes</w:t>
            </w:r>
          </w:p>
          <w:p>
            <w:pPr>
              <w:pBdr>
                <w:bottom w:val="single" w:color="C6D0DE" w:sz="4"/>
              </w:pBdr>
              <w:spacing w:before="160"/>
            </w:pPr>
          </w:p>
          <w:p>
            <w:pPr>
              <w:pBdr>
                <w:bottom w:val="single" w:color="C6D0DE" w:sz="4"/>
              </w:pBdr>
              <w:spacing w:before="160"/>
            </w:pPr>
          </w:p>
        </w:tc>
      </w:tr>
    </w:tbl>
    <w:p>
      <w:r>
        <w:br w:type="page"/>
      </w:r>
    </w:p>
    <w:tbl>
      <w:tblPr>
        <w:tblW w:type="dxa" w:w="10080"/>
        <w:tblBorders>
          <w:top w:val="none"/>
          <w:left w:val="none"/>
          <w:bottom w:val="none"/>
          <w:right w:val="none"/>
          <w:insideH w:val="none"/>
          <w:insideV w:val="none"/>
        </w:tblBorders>
      </w:tblPr>
      <w:tblGrid>
        <w:gridCol w:w="10080"/>
      </w:tblGrid>
      <w:tr>
        <w:tc>
          <w:tcPr>
            <w:tcW w:type="dxa" w:w="10080"/>
            <w:shd w:fill="1c7a58" w:val="clear"/>
            <w:tcMar>
              <w:top w:type="dxa" w:w="220"/>
              <w:left w:type="dxa" w:w="250"/>
              <w:bottom w:type="dxa" w:w="220"/>
              <w:right w:type="dxa" w:w="250"/>
            </w:tcMar>
          </w:tcPr>
          <w:p>
            <w:r>
              <w:rPr>
                <w:rFonts w:ascii="Calibri" w:cs="Calibri" w:eastAsia="Calibri" w:hAnsi="Calibri"/>
                <w:b/>
                <w:bCs/>
                <w:color w:val="D7F0E6"/>
                <w:sz w:val="15"/>
                <w:szCs w:val="15"/>
              </w:rPr>
              <w:t xml:space="preserve">FINISH</w:t>
            </w:r>
          </w:p>
          <w:p>
            <w:pPr>
              <w:spacing w:before="40"/>
            </w:pPr>
            <w:r>
              <w:rPr>
                <w:rFonts w:ascii="Calibri" w:cs="Calibri" w:eastAsia="Calibri" w:hAnsi="Calibri"/>
                <w:b/>
                <w:bCs/>
                <w:color w:val="FFFFFF"/>
                <w:sz w:val="28"/>
                <w:szCs w:val="28"/>
              </w:rPr>
              <w:t xml:space="preserve">Your scoreboard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480"/>
        <w:gridCol w:w="1900"/>
      </w:tblGrid>
      <w:tr>
        <w:trPr>
          <w:tblHeader/>
        </w:trPr>
        <w:tc>
          <w:tcPr>
            <w:tcW w:type="dxa" w:w="700"/>
            <w:shd w:fill="0D274D"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7480"/>
            <w:shd w:fill="0D274D" w:val="clear"/>
            <w:tcMar>
              <w:top w:type="dxa" w:w="100"/>
              <w:left w:type="dxa" w:w="140"/>
              <w:bottom w:type="dxa" w:w="100"/>
              <w:right w:type="dxa" w:w="140"/>
            </w:tcMar>
          </w:tcPr>
          <w:p>
            <w:r>
              <w:rPr>
                <w:rFonts w:ascii="Calibri" w:cs="Calibri" w:eastAsia="Calibri" w:hAnsi="Calibri"/>
                <w:b/>
                <w:bCs/>
                <w:color w:val="FFFFFF"/>
                <w:sz w:val="20"/>
                <w:szCs w:val="20"/>
              </w:rPr>
              <w:t xml:space="preserve">Use case</w:t>
            </w:r>
          </w:p>
        </w:tc>
        <w:tc>
          <w:tcPr>
            <w:tcW w:type="dxa" w:w="1900"/>
            <w:shd w:fill="0D274D" w:val="clear"/>
            <w:tcMar>
              <w:top w:type="dxa" w:w="100"/>
              <w:left w:type="dxa" w:w="140"/>
              <w:bottom w:type="dxa" w:w="100"/>
              <w:right w:type="dxa" w:w="140"/>
            </w:tcMar>
          </w:tcPr>
          <w:p>
            <w:r>
              <w:rPr>
                <w:rFonts w:ascii="Calibri" w:cs="Calibri" w:eastAsia="Calibri" w:hAnsi="Calibri"/>
                <w:b/>
                <w:bCs/>
                <w:color w:val="FFFFFF"/>
                <w:sz w:val="20"/>
                <w:szCs w:val="20"/>
              </w:rPr>
              <w:t xml:space="preserve">Score</w:t>
            </w:r>
          </w:p>
        </w:tc>
      </w:tr>
      <w:tr>
        <w:tc>
          <w:tcPr>
            <w:tcW w:type="dxa" w:w="700"/>
            <w:tcMar>
              <w:top w:type="dxa" w:w="120"/>
              <w:left w:type="dxa" w:w="140"/>
              <w:bottom w:type="dxa" w:w="120"/>
            </w:tcMar>
          </w:tcPr>
          <w:p>
            <w:r>
              <w:rPr>
                <w:rFonts w:ascii="Calibri" w:cs="Calibri" w:eastAsia="Calibri" w:hAnsi="Calibri"/>
                <w:b/>
                <w:bCs/>
                <w:color w:val="036C8F"/>
                <w:sz w:val="22"/>
                <w:szCs w:val="22"/>
              </w:rPr>
              <w:t xml:space="preserve">1</w:t>
            </w:r>
          </w:p>
        </w:tc>
        <w:tc>
          <w:tcPr>
            <w:tcW w:type="dxa" w:w="7480"/>
            <w:tcMar>
              <w:top w:type="dxa" w:w="120"/>
              <w:left w:type="dxa" w:w="140"/>
              <w:bottom w:type="dxa" w:w="120"/>
            </w:tcMar>
          </w:tcPr>
          <w:p>
            <w:r>
              <w:rPr>
                <w:rFonts w:ascii="Calibri" w:cs="Calibri" w:eastAsia="Calibri" w:hAnsi="Calibri"/>
                <w:color w:val="0E1A2B"/>
                <w:sz w:val="22"/>
                <w:szCs w:val="22"/>
              </w:rPr>
              <w:t xml:space="preserve">AI Security</w:t>
            </w:r>
            <w:r>
              <w:rPr>
                <w:rFonts w:ascii="Calibri" w:cs="Calibri" w:eastAsia="Calibri" w:hAnsi="Calibri"/>
                <w:color w:val="46566E"/>
                <w:sz w:val="16"/>
                <w:szCs w:val="16"/>
              </w:rPr>
              <w:t xml:space="preserve">   (7 pain points)</w:t>
            </w:r>
          </w:p>
        </w:tc>
        <w:tc>
          <w:tcPr>
            <w:tcW w:type="dxa" w:w="1900"/>
            <w:tcMar>
              <w:top w:type="dxa" w:w="120"/>
              <w:left w:type="dxa" w:w="140"/>
              <w:bottom w:type="dxa" w:w="120"/>
            </w:tcMar>
          </w:tcPr>
          <w:p>
            <w:r>
              <w:rPr>
                <w:rFonts w:ascii="Calibri" w:cs="Calibri" w:eastAsia="Calibri" w:hAnsi="Calibri"/>
                <w:color w:val="0D274D"/>
                <w:sz w:val="22"/>
                <w:szCs w:val="22"/>
              </w:rPr>
              <w:t xml:space="preserve">______ / 100</w:t>
            </w:r>
          </w:p>
        </w:tc>
      </w:tr>
      <w:tr>
        <w:tc>
          <w:tcPr>
            <w:tcW w:type="dxa" w:w="700"/>
            <w:tcMar>
              <w:top w:type="dxa" w:w="120"/>
              <w:left w:type="dxa" w:w="140"/>
              <w:bottom w:type="dxa" w:w="120"/>
            </w:tcMar>
          </w:tcPr>
          <w:p>
            <w:r>
              <w:rPr>
                <w:rFonts w:ascii="Calibri" w:cs="Calibri" w:eastAsia="Calibri" w:hAnsi="Calibri"/>
                <w:b/>
                <w:bCs/>
                <w:color w:val="2A6FB0"/>
                <w:sz w:val="22"/>
                <w:szCs w:val="22"/>
              </w:rPr>
              <w:t xml:space="preserve">2</w:t>
            </w:r>
          </w:p>
        </w:tc>
        <w:tc>
          <w:tcPr>
            <w:tcW w:type="dxa" w:w="7480"/>
            <w:tcMar>
              <w:top w:type="dxa" w:w="120"/>
              <w:left w:type="dxa" w:w="140"/>
              <w:bottom w:type="dxa" w:w="120"/>
            </w:tcMar>
          </w:tcPr>
          <w:p>
            <w:r>
              <w:rPr>
                <w:rFonts w:ascii="Calibri" w:cs="Calibri" w:eastAsia="Calibri" w:hAnsi="Calibri"/>
                <w:color w:val="0E1A2B"/>
                <w:sz w:val="22"/>
                <w:szCs w:val="22"/>
              </w:rPr>
              <w:t xml:space="preserve">Cloud Edge</w:t>
            </w:r>
            <w:r>
              <w:rPr>
                <w:rFonts w:ascii="Calibri" w:cs="Calibri" w:eastAsia="Calibri" w:hAnsi="Calibri"/>
                <w:color w:val="46566E"/>
                <w:sz w:val="16"/>
                <w:szCs w:val="16"/>
              </w:rPr>
              <w:t xml:space="preserve">   (6 pain points)</w:t>
            </w:r>
          </w:p>
        </w:tc>
        <w:tc>
          <w:tcPr>
            <w:tcW w:type="dxa" w:w="1900"/>
            <w:tcMar>
              <w:top w:type="dxa" w:w="120"/>
              <w:left w:type="dxa" w:w="140"/>
              <w:bottom w:type="dxa" w:w="120"/>
            </w:tcMar>
          </w:tcPr>
          <w:p>
            <w:r>
              <w:rPr>
                <w:rFonts w:ascii="Calibri" w:cs="Calibri" w:eastAsia="Calibri" w:hAnsi="Calibri"/>
                <w:color w:val="0D274D"/>
                <w:sz w:val="22"/>
                <w:szCs w:val="22"/>
              </w:rPr>
              <w:t xml:space="preserve">______ / 100</w:t>
            </w:r>
          </w:p>
        </w:tc>
      </w:tr>
      <w:tr>
        <w:tc>
          <w:tcPr>
            <w:tcW w:type="dxa" w:w="700"/>
            <w:tcMar>
              <w:top w:type="dxa" w:w="120"/>
              <w:left w:type="dxa" w:w="140"/>
              <w:bottom w:type="dxa" w:w="120"/>
            </w:tcMar>
          </w:tcPr>
          <w:p>
            <w:r>
              <w:rPr>
                <w:rFonts w:ascii="Calibri" w:cs="Calibri" w:eastAsia="Calibri" w:hAnsi="Calibri"/>
                <w:b/>
                <w:bCs/>
                <w:color w:val="B4700F"/>
                <w:sz w:val="22"/>
                <w:szCs w:val="22"/>
              </w:rPr>
              <w:t xml:space="preserve">3</w:t>
            </w:r>
          </w:p>
        </w:tc>
        <w:tc>
          <w:tcPr>
            <w:tcW w:type="dxa" w:w="7480"/>
            <w:tcMar>
              <w:top w:type="dxa" w:w="120"/>
              <w:left w:type="dxa" w:w="140"/>
              <w:bottom w:type="dxa" w:w="120"/>
            </w:tcMar>
          </w:tcPr>
          <w:p>
            <w:r>
              <w:rPr>
                <w:rFonts w:ascii="Calibri" w:cs="Calibri" w:eastAsia="Calibri" w:hAnsi="Calibri"/>
                <w:color w:val="0E1A2B"/>
                <w:sz w:val="22"/>
                <w:szCs w:val="22"/>
              </w:rPr>
              <w:t xml:space="preserve">DC Edge · Perimeter Firewall</w:t>
            </w:r>
            <w:r>
              <w:rPr>
                <w:rFonts w:ascii="Calibri" w:cs="Calibri" w:eastAsia="Calibri" w:hAnsi="Calibri"/>
                <w:color w:val="46566E"/>
                <w:sz w:val="16"/>
                <w:szCs w:val="16"/>
              </w:rPr>
              <w:t xml:space="preserve">   (5 pain points)</w:t>
            </w:r>
          </w:p>
        </w:tc>
        <w:tc>
          <w:tcPr>
            <w:tcW w:type="dxa" w:w="1900"/>
            <w:tcMar>
              <w:top w:type="dxa" w:w="120"/>
              <w:left w:type="dxa" w:w="140"/>
              <w:bottom w:type="dxa" w:w="120"/>
            </w:tcMar>
          </w:tcPr>
          <w:p>
            <w:r>
              <w:rPr>
                <w:rFonts w:ascii="Calibri" w:cs="Calibri" w:eastAsia="Calibri" w:hAnsi="Calibri"/>
                <w:color w:val="0D274D"/>
                <w:sz w:val="22"/>
                <w:szCs w:val="22"/>
              </w:rPr>
              <w:t xml:space="preserve">______ / 100</w:t>
            </w:r>
          </w:p>
        </w:tc>
      </w:tr>
      <w:tr>
        <w:tc>
          <w:tcPr>
            <w:tcW w:type="dxa" w:w="700"/>
            <w:tcMar>
              <w:top w:type="dxa" w:w="120"/>
              <w:left w:type="dxa" w:w="140"/>
              <w:bottom w:type="dxa" w:w="120"/>
            </w:tcMar>
          </w:tcPr>
          <w:p>
            <w:r>
              <w:rPr>
                <w:rFonts w:ascii="Calibri" w:cs="Calibri" w:eastAsia="Calibri" w:hAnsi="Calibri"/>
                <w:b/>
                <w:bCs/>
                <w:color w:val="1C7A58"/>
                <w:sz w:val="22"/>
                <w:szCs w:val="22"/>
              </w:rPr>
              <w:t xml:space="preserve">4</w:t>
            </w:r>
          </w:p>
        </w:tc>
        <w:tc>
          <w:tcPr>
            <w:tcW w:type="dxa" w:w="7480"/>
            <w:tcMar>
              <w:top w:type="dxa" w:w="120"/>
              <w:left w:type="dxa" w:w="140"/>
              <w:bottom w:type="dxa" w:w="120"/>
            </w:tcMar>
          </w:tcPr>
          <w:p>
            <w:r>
              <w:rPr>
                <w:rFonts w:ascii="Calibri" w:cs="Calibri" w:eastAsia="Calibri" w:hAnsi="Calibri"/>
                <w:color w:val="0E1A2B"/>
                <w:sz w:val="22"/>
                <w:szCs w:val="22"/>
              </w:rPr>
              <w:t xml:space="preserve">Macro &amp; Micro Segmentation</w:t>
            </w:r>
            <w:r>
              <w:rPr>
                <w:rFonts w:ascii="Calibri" w:cs="Calibri" w:eastAsia="Calibri" w:hAnsi="Calibri"/>
                <w:color w:val="46566E"/>
                <w:sz w:val="16"/>
                <w:szCs w:val="16"/>
              </w:rPr>
              <w:t xml:space="preserve">   (9 pain points)</w:t>
            </w:r>
          </w:p>
        </w:tc>
        <w:tc>
          <w:tcPr>
            <w:tcW w:type="dxa" w:w="1900"/>
            <w:tcMar>
              <w:top w:type="dxa" w:w="120"/>
              <w:left w:type="dxa" w:w="140"/>
              <w:bottom w:type="dxa" w:w="120"/>
            </w:tcMar>
          </w:tcPr>
          <w:p>
            <w:r>
              <w:rPr>
                <w:rFonts w:ascii="Calibri" w:cs="Calibri" w:eastAsia="Calibri" w:hAnsi="Calibri"/>
                <w:color w:val="0D274D"/>
                <w:sz w:val="22"/>
                <w:szCs w:val="22"/>
              </w:rPr>
              <w:t xml:space="preserve">______ / 100</w:t>
            </w:r>
          </w:p>
        </w:tc>
      </w:tr>
      <w:tr>
        <w:tc>
          <w:tcPr>
            <w:tcW w:type="dxa" w:w="8180"/>
            <w:gridSpan w:val="2"/>
            <w:shd w:fill="EEF3F9" w:val="clear"/>
            <w:tcMar>
              <w:top w:type="dxa" w:w="130"/>
              <w:left w:type="dxa" w:w="140"/>
              <w:bottom w:type="dxa" w:w="130"/>
            </w:tcMar>
          </w:tcPr>
          <w:p>
            <w:r>
              <w:rPr>
                <w:rFonts w:ascii="Calibri" w:cs="Calibri" w:eastAsia="Calibri" w:hAnsi="Calibri"/>
                <w:b/>
                <w:bCs/>
                <w:color w:val="0D274D"/>
                <w:sz w:val="22"/>
                <w:szCs w:val="22"/>
              </w:rPr>
              <w:t xml:space="preserve">TOTAL</w:t>
            </w:r>
          </w:p>
        </w:tc>
        <w:tc>
          <w:tcPr>
            <w:tcW w:type="dxa" w:w="1900"/>
            <w:shd w:fill="EEF3F9" w:val="clear"/>
            <w:tcMar>
              <w:top w:type="dxa" w:w="130"/>
              <w:left w:type="dxa" w:w="140"/>
              <w:bottom w:type="dxa" w:w="130"/>
            </w:tcMar>
          </w:tcPr>
          <w:p>
            <w:r>
              <w:rPr>
                <w:rFonts w:ascii="Calibri" w:cs="Calibri" w:eastAsia="Calibri" w:hAnsi="Calibri"/>
                <w:b/>
                <w:bCs/>
                <w:color w:val="1c7a58"/>
                <w:sz w:val="24"/>
                <w:szCs w:val="24"/>
              </w:rPr>
              <w:t xml:space="preserve">______ / 400</w:t>
            </w:r>
          </w:p>
        </w:tc>
      </w:tr>
    </w:tbl>
    <w:p>
      <w:pPr>
        <w:spacing w:before="160"/>
        <w:jc w:val="center"/>
      </w:pPr>
      <w:r>
        <w:rPr>
          <w:rFonts w:ascii="Calibri" w:cs="Calibri" w:eastAsia="Calibri" w:hAnsi="Calibri"/>
          <w:i/>
          <w:iCs/>
          <w:color w:val="46566E"/>
          <w:sz w:val="22"/>
          <w:szCs w:val="22"/>
        </w:rPr>
        <w:t xml:space="preserve">Well played. You turned a pile of problems into a plan — the way a great SE does in the real room.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2026-07-25T13:28:17.919Z</dcterms:created>
  <dcterms:modified xsi:type="dcterms:W3CDTF">2026-07-25T13:28:17.929Z</dcterms:modified>
</cp:coreProperties>
</file>

<file path=docProps/custom.xml><?xml version="1.0" encoding="utf-8"?>
<Properties xmlns="http://schemas.openxmlformats.org/officeDocument/2006/custom-properties" xmlns:vt="http://schemas.openxmlformats.org/officeDocument/2006/docPropsVTypes"/>
</file>