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w:t>
      </w:r>
    </w:p>
    <w:p>
      <w:pPr>
        <w:spacing w:after="60" w:before="0" w:line="276"/>
      </w:pPr>
      <w:r>
        <w:rPr>
          <w:rFonts w:ascii="Calibri" w:cs="Calibri" w:eastAsia="Calibri" w:hAnsi="Calibri"/>
          <w:b/>
          <w:bCs/>
          <w:color w:val="0D274D"/>
          <w:sz w:val="40"/>
          <w:szCs w:val="40"/>
        </w:rPr>
        <w:t xml:space="preserve">HMF Design Clinic Solution Guide</w:t>
      </w:r>
    </w:p>
    <w:p>
      <w:pPr>
        <w:spacing w:after="140" w:before="0" w:line="276"/>
      </w:pPr>
      <w:r>
        <w:rPr>
          <w:rFonts w:ascii="Calibri" w:cs="Calibri" w:eastAsia="Calibri" w:hAnsi="Calibri"/>
          <w:color w:val="3A4C63"/>
          <w:sz w:val="24"/>
          <w:szCs w:val="24"/>
        </w:rPr>
        <w:t xml:space="preserve">Reference answers and the three assessment dimensions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Your model-answer companion.  </w:t>
            </w:r>
            <w:r>
              <w:rPr>
                <w:rFonts w:ascii="Calibri" w:cs="Calibri" w:eastAsia="Calibri" w:hAnsi="Calibri"/>
                <w:color w:val="33465F"/>
                <w:sz w:val="20"/>
                <w:szCs w:val="20"/>
              </w:rPr>
              <w:t xml:space="preserve">For every pain point you will find the fitting Cisco solution, how a strong Solution Engineer explains it, and the outcome it delivers, mapped to the three dimensions so you can assess answers consistently.</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scenario.  </w:t>
            </w: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The evaluation approach</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Score by case study, assess by dimension</w:t>
      </w:r>
    </w:p>
    <w:p>
      <w:pPr>
        <w:spacing w:after="100" w:before="0" w:line="276"/>
      </w:pPr>
      <w:r>
        <w:rPr>
          <w:rFonts w:ascii="Calibri" w:cs="Calibri" w:eastAsia="Calibri" w:hAnsi="Calibri"/>
          <w:color w:val="3A4C63"/>
          <w:sz w:val="21"/>
          <w:szCs w:val="21"/>
        </w:rPr>
        <w:t xml:space="preserve">Each case study is scored across its four pain points, giving a case study score out of 100 and an overall score out of 400. Alongside the score, assess each team on the three dimensions below and record qualitative feedback.</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What full credit looks like.  </w:t>
            </w:r>
            <w:r>
              <w:rPr>
                <w:rFonts w:ascii="Calibri" w:cs="Calibri" w:eastAsia="Calibri" w:hAnsi="Calibri"/>
                <w:color w:val="33465F"/>
                <w:sz w:val="20"/>
                <w:szCs w:val="20"/>
              </w:rPr>
              <w:t xml:space="preserve">Problem Identifier: names the underlying requirement and constraints, not just the surface ask. Solution Designer: recommends the right Cisco solution and an architecture or approach that fits Cedarline. Value Communicator: explains clearly how it works and states the concrete Cedarline outcome. Reward reasoning specific to Cedarline over generic best practice.</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Cedarline is standing up AI across regulated workflows and public cloud faster than security can see it. Help them prove compliance, vet what they adopt, and get visibility and guardrails over AI traffic.</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Provider-level evidence of robustness and cybersecurity under EU AI Act Article 15.</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(AI Model and Application Validation)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AI Defense is specifically designed to support Provider obligations under the EU AI Act. We utilize algorithmic red teaming technology for AI Model &amp; App Validation, which identifies safety and security vulnerabilities at scale.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technical evidence gathering required for "Conformity Assessments." By mapping AI-specific threats to standardized frameworks (like MITRE ATLAS and OWASP), it provides the documentation and continuous monitoring necessary to prove to regulators that your systems are robust and compliant.</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Vetting AI models and third-party agents for vulnerabilities before they reach production.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(Supply Chain Risk Management)</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AI Defense addresses this through proactive Supply Chain Risk Management. We scan your model files, repositories, and MCP servers to identify malicious or unsafe assets.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enables "Shift-Left" security by creating an inventory of all AI models and agents. By identifying vulnerabilities before production, it prevents the introduction of malicious code or poisoned data into your ecosystem.</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Visibility and consistent control over AI assets (models, agents, datasets and MCP tools) across the cloud.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(AI Cloud Visibility)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the visibility gap Cisco AI Defense is built to solve. With AI Cloud Visibility, Cisco AI Defense continuously discovers AI assets across distributed cloud environments, including models, agents, datasets, MCP servers, and agent-to-tool workflows.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Identifies rogue or unsanctioned AI assets. Maps relationships across data, models, agents, and tools.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Seeing AI assets and third-party model usage, and enforcing runtime guardrails on AI traffic without changing applications.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with Cisco Multicloud Defense (AI Runtime Protection)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what the Cisco AI Defense-Cisco Multicloud Defense integration is designed to address. Cisco AI Defense uses the integration to discover AI assets in your cloud environments and identify external AI destinations your workloads are calling.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Finds AI assets in cloud accounts. Identifies third-party AI model usage.</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Workloads sprawl across AWS, Azure and on-prem, each with its own policy model. Contain lateral movement, prove consistent controls to auditors, and give Cedarline one place to define and enforce policy.</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Containing lateral movement between public cloud and on-prem in a multicloud environment.</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(macro and micro-segmentation gateways)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leverages macro and micro-segmentation capabilities to enforce strict communication boundaries. By integrating with our Hybrid Mesh Firewall and Hypershield, we can isolate workloads and inspect traffic between cloud segments, effectively stopping lateral movement before it reaches your sensitive data.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provides granular visibility and control over east-west traffic. By applying Zero Trust principles across the hybrid fabric, you transform your network into a series of secure, isolated zones that prevent an attacker from pivoting through your infrastructure.</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Consistent, auditable proof that security controls are applied across all cloud workloads.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(unified logging and visibility)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provides unified logging and traceability. Because our security framework is integrated across the network fabric, you can generate consolidated reports that map directly to your compliance requirements (such as NIS2 or DORA) across all cloud environments from a single dashboard.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collection of evidence for security audits. By consolidating logs and policy enforcement data, you create a "single source of truth" that simplifies compliance reporting and demonstrates proactive governance to regulators.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One consistent policy model across AWS, Azure and on-prem, without per-cloud overhead.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(unified policy across public clouds)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integrated within our Hybrid Mesh Firewall architecture, provides a unified control plane. You can define security policies once via Security Cloud Control and enforce them consistently across your entire distributed environment, regardless of the underlying cloud provider.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replaces siloed, manual configuration with centralized orchestration. By abstracting the security policy from the cloud-native tools, it ensures that your security posture is uniform and eliminates the "configuration drift" that occurs when managing multiple cloud consoles.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Unified segmentation that prevents policy drift across hybrid and multicloud.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Workload with Cisco Secure Firewall (managed via FMC and Security Cloud Control)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a common hybrid environment challenge. Cisco Secure Workload helps create a more unified segmentation model by using application dependency awareness and AI/ML-driven policy discovery to define policy based on how workloads actually communicate.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Reduces policy drift across hybrid and multicloud environments. Aligns policy to application behavior, not just static IP-based rules.</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mixed-vendor perimeter, an inherited rulebase and mostly encrypted traffic leave blind spots and a slow response. Restore visibility, speed the response, and modernise detection with the team they have.</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Automated, real-time isolation of a compromised device, faster than a manual response.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ISE (Security Group Tags via pxGrid and Adaptive Network Control)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ISE integrates with your security ecosystem via pxGrid and Adaptive Network Control (ANC). When a threat is detected, ISE can automatically trigger a quarantine policy, isolating the compromised device in real-time without requiring manual intervention.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"Response" phase of the incident lifecycle. By bridging the gap between detection and enforcement, it stops threats at the speed of the network.</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Simplifying and cleaning up firewall policy administration at scale.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Security Cloud Control with FMC and Cisco Secure Firewall (unified policy administration)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applies AI-driven analysis to firewall telemetry and policy data to surface optimization opportunities, reduce manual troubleshooting, and guide cleaner policy administration.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Reduces manual policy review; identifies redundant/stale rules; lowers risk from human error.</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Restoring visibility into encrypted traffic without decrypting everything.</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Firewall with the Encrypted Visibility Engine (EVE)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Encrypted Visibility Engine (EVE) uses AI/ML-based fingerprinting to analyze encrypted traffic patterns and identify suspicious behavior without decrypting the payload.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Restores visibility into encrypted blind spots; avoids the performance/privacy overhead of decrypt-everything strategies.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Detecting unknown and zero-day threats beyond signature-based detection.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Firewall with Snort ML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where Snort ML helps. It adds machine-learning-based detection inside the Snort 3 engine to identify exploit behavior associated with unknown/zero-day threats.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Addresses the gap between known and unknown threat detection; reduces dependence on signature timing.</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flat data centre and fragmented Kubernetes networking invite east-west movement. Build segmentation Cedarline can adopt safely, with runtime visibility and application-dependency awareness so nothing breaks.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Runtime detection of suspicious behaviour and policy violations inside workloads.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Tetragon (eBPF runtime security)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where Tetragon comes in. Tetragon extends the value of Cilium by providing eBPF-based runtime security and threat detection.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Adds runtime visibility beyond basic network controls. Detects suspicious system and network behavior in real time.</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Consistent Kubernetes networking and policy across clusters, with less operational complexity.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Cilium (eBPF Kubernetes networking and policy)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where Isovalent Cilium helps. Cilium provides a modern, eBPF-based Kubernetes networking layer that gives you consistent connectivity, policy enforcement, and visibility across clusters and environments.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Replaces brittle, IP-centric networking models with a Kubernetes-native approach. Improves consistency across dynamic cluster environments.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Consolidating Kubernetes networking, security and observability to reduce tool sprawl.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Cilium with Tetragon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the consolidation opportunity Isovalent addresses. With Cilium for networking and policy, and Tetragon for runtime security, you get a more unified platform for connectivity, segmentation, observability, and security.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Consolidates multiple functions into one platform approach. Reduces tool sprawl and operational friction.</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Mapping east-west flows and application dependencies to segment safely without breaking applications.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Workload (application dependency mapping)</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one of the biggest reasons customers adopt Cisco Secure Workload. It gives you deep visibility into workload communication and application dependency mapping, so you can see how applications actually behave before enforcing policy.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Reveals actual application communication paths. Reduces the risk of segmentation causing outages.</w:t>
            </w:r>
          </w:p>
        </w:tc>
      </w:tr>
    </w:tbl>
    <w:p>
      <w:pPr>
        <w:spacing w:after="160"/>
      </w:pPr>
      <w:r>
        <w:rPr>
          <w:rFonts w:ascii="Calibri" w:cs="Calibri" w:eastAsia="Calibri" w:hAnsi="Calibri"/>
          <w:color w:val="14263A"/>
          <w:sz w:val="2"/>
          <w:szCs w:val="2"/>
        </w:rPr>
        <w:t xml:space="preserv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2026-08-03T22:19:51.810Z</dcterms:created>
  <dcterms:modified xsi:type="dcterms:W3CDTF">2026-08-03T22:19:51.810Z</dcterms:modified>
</cp:coreProperties>
</file>

<file path=docProps/custom.xml><?xml version="1.0" encoding="utf-8"?>
<Properties xmlns="http://schemas.openxmlformats.org/officeDocument/2006/custom-properties" xmlns:vt="http://schemas.openxmlformats.org/officeDocument/2006/docPropsVTypes"/>
</file>