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Grading Guide</w:t>
      </w:r>
    </w:p>
    <w:p>
      <w:pPr>
        <w:spacing w:after="140" w:before="0" w:line="276"/>
      </w:pPr>
      <w:r>
        <w:rPr>
          <w:rFonts w:ascii="Calibri" w:cs="Calibri" w:eastAsia="Calibri" w:hAnsi="Calibri"/>
          <w:color w:val="3A4C63"/>
          <w:sz w:val="24"/>
          <w:szCs w:val="24"/>
        </w:rPr>
        <w:t xml:space="preserve">Score three dimensions per pain point, 400 points in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every pain point on three dimensions: Problem Identifier out of 5, Solution Designer out of 10, and Value Communicator out of 10. That is 25 per pain point, 100 per case study, and 400 for the clinic.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 Problem Identifier</w:t>
            </w:r>
            <w:r>
              <w:rPr>
                <w:rFonts w:ascii="Calibri" w:cs="Calibri" w:eastAsia="Calibri" w:hAnsi="Calibri"/>
                <w:b/>
                <w:bCs/>
                <w:color w:val="7E8CA1"/>
                <w:sz w:val="16"/>
                <w:szCs w:val="16"/>
              </w:rPr>
              <w:t xml:space="preserve">   /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 Solution Designer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 Value Communicator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60" w:before="160" w:line="276"/>
      </w:pPr>
      <w:r>
        <w:rPr>
          <w:rFonts w:ascii="Calibri" w:cs="Calibri" w:eastAsia="Calibri" w:hAnsi="Calibri"/>
          <w:b/>
          <w:bCs/>
          <w:color w:val="0D274D"/>
          <w:sz w:val="24"/>
          <w:szCs w:val="24"/>
        </w:rPr>
        <w:t xml:space="preserve">Award the points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200"/>
        <w:gridCol w:w="8160"/>
      </w:tblGrid>
      <w:tr>
        <w:tc>
          <w:tcPr>
            <w:tcW w:type="dxa" w:w="9360"/>
            <w:gridSpan w:val="2"/>
            <w:tcBorders>
              <w:top w:val="none" w:color="FFFFFF" w:sz="0"/>
              <w:left w:val="none" w:color="FFFFFF" w:sz="0"/>
              <w:bottom w:val="none" w:color="FFFFFF" w:sz="0"/>
              <w:right w:val="none" w:color="FFFFFF" w:sz="0"/>
            </w:tcBorders>
            <w:shd w:fill="5B4BC4" w:color="auto" w:val="clear"/>
            <w:tcMar>
              <w:top w:type="dxa" w:w="70"/>
              <w:left w:type="dxa" w:w="150"/>
              <w:bottom w:type="dxa" w:w="70"/>
              <w:right w:type="dxa" w:w="150"/>
            </w:tcMar>
          </w:tcPr>
          <w:p>
            <w:pPr>
              <w:spacing w:after="0" w:before="0" w:line="276"/>
            </w:pPr>
            <w:r>
              <w:rPr>
                <w:rFonts w:ascii="Calibri" w:cs="Calibri" w:eastAsia="Calibri" w:hAnsi="Calibri"/>
                <w:b/>
                <w:bCs/>
                <w:color w:val="FFFFFF"/>
                <w:sz w:val="18"/>
                <w:szCs w:val="18"/>
              </w:rPr>
              <w:t xml:space="preserve">🔍 Problem Identifier</w:t>
            </w:r>
            <w:r>
              <w:rPr>
                <w:rFonts w:ascii="Calibri" w:cs="Calibri" w:eastAsia="Calibri" w:hAnsi="Calibri"/>
                <w:color w:val="FFFFFF"/>
                <w:sz w:val="15"/>
                <w:szCs w:val="15"/>
              </w:rPr>
              <w:t xml:space="preserve">     score 0 to 5</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5</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Precisely identifies the pain point and the requirements or constraints behind it.</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3 to 4</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Identifies the pain point but misses some requirements or nuance.</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1 to 2</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Vague or partial understanding of the concern.</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0</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Misreads the concern, or leaves it blank.</w:t>
            </w:r>
          </w:p>
        </w:tc>
      </w:tr>
    </w:tbl>
    <w:p>
      <w:pPr>
        <w:spacing w:after="10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200"/>
        <w:gridCol w:w="8160"/>
      </w:tblGrid>
      <w:tr>
        <w:tc>
          <w:tcPr>
            <w:tcW w:type="dxa" w:w="9360"/>
            <w:gridSpan w:val="2"/>
            <w:tcBorders>
              <w:top w:val="none" w:color="FFFFFF" w:sz="0"/>
              <w:left w:val="none" w:color="FFFFFF" w:sz="0"/>
              <w:bottom w:val="none" w:color="FFFFFF" w:sz="0"/>
              <w:right w:val="none" w:color="FFFFFF" w:sz="0"/>
            </w:tcBorders>
            <w:shd w:fill="0E7C86" w:color="auto" w:val="clear"/>
            <w:tcMar>
              <w:top w:type="dxa" w:w="70"/>
              <w:left w:type="dxa" w:w="150"/>
              <w:bottom w:type="dxa" w:w="70"/>
              <w:right w:type="dxa" w:w="150"/>
            </w:tcMar>
          </w:tcPr>
          <w:p>
            <w:pPr>
              <w:spacing w:after="0" w:before="0" w:line="276"/>
            </w:pPr>
            <w:r>
              <w:rPr>
                <w:rFonts w:ascii="Calibri" w:cs="Calibri" w:eastAsia="Calibri" w:hAnsi="Calibri"/>
                <w:b/>
                <w:bCs/>
                <w:color w:val="FFFFFF"/>
                <w:sz w:val="18"/>
                <w:szCs w:val="18"/>
              </w:rPr>
              <w:t xml:space="preserve">🏗️ Solution Designer</w:t>
            </w:r>
            <w:r>
              <w:rPr>
                <w:rFonts w:ascii="Calibri" w:cs="Calibri" w:eastAsia="Calibri" w:hAnsi="Calibri"/>
                <w:color w:val="FFFFFF"/>
                <w:sz w:val="15"/>
                <w:szCs w:val="15"/>
              </w:rPr>
              <w:t xml:space="preserve">     score 0 to 10</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8 to 10</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Recommends the right Cisco solution and an architecture or approach that fits Cedarline and the HMF design.</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5 to 7</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Right solution, but light on the architecture or approach.</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2 to 4</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Partly right, or a product named with no approach.</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0 to 1</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Wrong solution, or left blank.</w:t>
            </w:r>
          </w:p>
        </w:tc>
      </w:tr>
    </w:tbl>
    <w:p>
      <w:pPr>
        <w:spacing w:after="10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200"/>
        <w:gridCol w:w="8160"/>
      </w:tblGrid>
      <w:tr>
        <w:tc>
          <w:tcPr>
            <w:tcW w:type="dxa" w:w="9360"/>
            <w:gridSpan w:val="2"/>
            <w:tcBorders>
              <w:top w:val="none" w:color="FFFFFF" w:sz="0"/>
              <w:left w:val="none" w:color="FFFFFF" w:sz="0"/>
              <w:bottom w:val="none" w:color="FFFFFF" w:sz="0"/>
              <w:right w:val="none" w:color="FFFFFF" w:sz="0"/>
            </w:tcBorders>
            <w:shd w:fill="B7791F" w:color="auto" w:val="clear"/>
            <w:tcMar>
              <w:top w:type="dxa" w:w="70"/>
              <w:left w:type="dxa" w:w="150"/>
              <w:bottom w:type="dxa" w:w="70"/>
              <w:right w:type="dxa" w:w="150"/>
            </w:tcMar>
          </w:tcPr>
          <w:p>
            <w:pPr>
              <w:spacing w:after="0" w:before="0" w:line="276"/>
            </w:pPr>
            <w:r>
              <w:rPr>
                <w:rFonts w:ascii="Calibri" w:cs="Calibri" w:eastAsia="Calibri" w:hAnsi="Calibri"/>
                <w:b/>
                <w:bCs/>
                <w:color w:val="FFFFFF"/>
                <w:sz w:val="18"/>
                <w:szCs w:val="18"/>
              </w:rPr>
              <w:t xml:space="preserve">🎯 Value Communicator</w:t>
            </w:r>
            <w:r>
              <w:rPr>
                <w:rFonts w:ascii="Calibri" w:cs="Calibri" w:eastAsia="Calibri" w:hAnsi="Calibri"/>
                <w:color w:val="FFFFFF"/>
                <w:sz w:val="15"/>
                <w:szCs w:val="15"/>
              </w:rPr>
              <w:t xml:space="preserve">     score 0 to 10</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8 to 10</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Clearly explains how the solution works and the concrete Cedarline outcomes it enables.</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5 to 7</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Explains how it works but is thin on outcomes, or states outcomes without the how.</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2 to 4</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Vague or generic.</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0 to 1</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No explanation, or left blank.</w:t>
            </w:r>
          </w:p>
        </w:tc>
      </w:tr>
    </w:tbl>
    <w:p>
      <w:pPr>
        <w:spacing w:after="10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maths.  </w:t>
            </w:r>
            <w:r>
              <w:rPr>
                <w:rFonts w:ascii="Calibri" w:cs="Calibri" w:eastAsia="Calibri" w:hAnsi="Calibri"/>
                <w:color w:val="33465F"/>
                <w:sz w:val="20"/>
                <w:szCs w:val="20"/>
              </w:rPr>
              <w:t xml:space="preserve">Problem Identifier (5) plus Solution Designer (10) plus Value Communicator (10) is 25 per pain point. Four pain points is 100 per case study. Four case studies is 400 in total. Grade against the Solution Guide, and reward reasoning that is specific to Cedarline over generic best practice.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scoring</w:t>
      </w:r>
    </w:p>
    <w:p>
      <w:pPr>
        <w:spacing w:after="60" w:before="0" w:line="276"/>
      </w:pPr>
      <w:r>
        <w:rPr>
          <w:rFonts w:ascii="Calibri" w:cs="Calibri" w:eastAsia="Calibri" w:hAnsi="Calibri"/>
          <w:b/>
          <w:bCs/>
          <w:color w:val="0D274D"/>
          <w:sz w:val="42"/>
          <w:szCs w:val="42"/>
        </w:rPr>
        <w:t xml:space="preserve">AI Security</w:t>
      </w:r>
    </w:p>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960"/>
        <w:gridCol w:w="1100"/>
        <w:gridCol w:w="1100"/>
        <w:gridCol w:w="1100"/>
        <w:gridCol w:w="1100"/>
      </w:tblGrid>
      <w:tr>
        <w:trPr>
          <w:tblHeader/>
        </w:trPr>
        <w:tc>
          <w:tcPr>
            <w:tcW w:type="dxa" w:w="496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left"/>
            </w:pPr>
            <w:r>
              <w:rPr>
                <w:rFonts w:ascii="Calibri" w:cs="Calibri" w:eastAsia="Calibri" w:hAnsi="Calibri"/>
                <w:b/>
                <w:bCs/>
                <w:caps/>
                <w:color w:val="FFFFFF"/>
                <w:sz w:val="14"/>
                <w:szCs w:val="14"/>
              </w:rPr>
              <w:t xml:space="preserve">Pain point</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PI /5</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SD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VC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Total /25</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1. </w:t>
            </w:r>
            <w:r>
              <w:rPr>
                <w:rFonts w:ascii="Calibri" w:cs="Calibri" w:eastAsia="Calibri" w:hAnsi="Calibri"/>
                <w:color w:val="2A3C52"/>
                <w:sz w:val="17"/>
                <w:szCs w:val="17"/>
              </w:rPr>
              <w:t xml:space="preserve">Under the EU AI Act, we are classified as a 'Provider' for our internal AI systems. We need…</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2. </w:t>
            </w:r>
            <w:r>
              <w:rPr>
                <w:rFonts w:ascii="Calibri" w:cs="Calibri" w:eastAsia="Calibri" w:hAnsi="Calibri"/>
                <w:color w:val="2A3C52"/>
                <w:sz w:val="17"/>
                <w:szCs w:val="17"/>
              </w:rPr>
              <w:t xml:space="preserve">We are integrating various open-source models and third-party agents into our internal…</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3. </w:t>
            </w:r>
            <w:r>
              <w:rPr>
                <w:rFonts w:ascii="Calibri" w:cs="Calibri" w:eastAsia="Calibri" w:hAnsi="Calibri"/>
                <w:color w:val="2A3C52"/>
                <w:sz w:val="17"/>
                <w:szCs w:val="17"/>
              </w:rPr>
              <w:t xml:space="preserve">We know AI is showing up across our cloud environments faster than security can track it.…</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4. </w:t>
            </w:r>
            <w:r>
              <w:rPr>
                <w:rFonts w:ascii="Calibri" w:cs="Calibri" w:eastAsia="Calibri" w:hAnsi="Calibri"/>
                <w:color w:val="2A3C52"/>
                <w:sz w:val="17"/>
                <w:szCs w:val="17"/>
              </w:rPr>
              <w:t xml:space="preserve">We're running AI workloads in cloud accounts, but we don't have a reliable way to see which…</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pPr>
            <w:r>
              <w:rPr>
                <w:rFonts w:ascii="Calibri" w:cs="Calibri" w:eastAsia="Calibri" w:hAnsi="Calibri"/>
                <w:b/>
                <w:bCs/>
                <w:color w:val="0D274D"/>
                <w:sz w:val="18"/>
                <w:szCs w:val="18"/>
              </w:rPr>
              <w:t xml:space="preserve">Case Study 1 total</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r>
              <w:rPr>
                <w:rFonts w:ascii="Calibri" w:cs="Calibri" w:eastAsia="Calibri" w:hAnsi="Calibri"/>
                <w:b/>
                <w:bCs/>
                <w:color w:val="0D274D"/>
                <w:sz w:val="17"/>
                <w:szCs w:val="17"/>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scoring</w:t>
      </w:r>
    </w:p>
    <w:p>
      <w:pPr>
        <w:spacing w:after="60" w:before="0" w:line="276"/>
      </w:pPr>
      <w:r>
        <w:rPr>
          <w:rFonts w:ascii="Calibri" w:cs="Calibri" w:eastAsia="Calibri" w:hAnsi="Calibri"/>
          <w:b/>
          <w:bCs/>
          <w:color w:val="0D274D"/>
          <w:sz w:val="42"/>
          <w:szCs w:val="42"/>
        </w:rPr>
        <w:t xml:space="preserve">Cloud Edge</w:t>
      </w:r>
    </w:p>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960"/>
        <w:gridCol w:w="1100"/>
        <w:gridCol w:w="1100"/>
        <w:gridCol w:w="1100"/>
        <w:gridCol w:w="1100"/>
      </w:tblGrid>
      <w:tr>
        <w:trPr>
          <w:tblHeader/>
        </w:trPr>
        <w:tc>
          <w:tcPr>
            <w:tcW w:type="dxa" w:w="496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left"/>
            </w:pPr>
            <w:r>
              <w:rPr>
                <w:rFonts w:ascii="Calibri" w:cs="Calibri" w:eastAsia="Calibri" w:hAnsi="Calibri"/>
                <w:b/>
                <w:bCs/>
                <w:caps/>
                <w:color w:val="FFFFFF"/>
                <w:sz w:val="14"/>
                <w:szCs w:val="14"/>
              </w:rPr>
              <w:t xml:space="preserve">Pain point</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PI /5</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SD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VC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Total /25</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1. </w:t>
            </w:r>
            <w:r>
              <w:rPr>
                <w:rFonts w:ascii="Calibri" w:cs="Calibri" w:eastAsia="Calibri" w:hAnsi="Calibri"/>
                <w:color w:val="2A3C52"/>
                <w:sz w:val="17"/>
                <w:szCs w:val="17"/>
              </w:rPr>
              <w:t xml:space="preserve">If a breach occurs in one of our public cloud instances, we are terrified that the attacker…</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2. </w:t>
            </w:r>
            <w:r>
              <w:rPr>
                <w:rFonts w:ascii="Calibri" w:cs="Calibri" w:eastAsia="Calibri" w:hAnsi="Calibri"/>
                <w:color w:val="2A3C52"/>
                <w:sz w:val="17"/>
                <w:szCs w:val="17"/>
              </w:rPr>
              <w:t xml:space="preserve">Our auditors require proof that our security controls are applied consistently across all our…</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3. </w:t>
            </w:r>
            <w:r>
              <w:rPr>
                <w:rFonts w:ascii="Calibri" w:cs="Calibri" w:eastAsia="Calibri" w:hAnsi="Calibri"/>
                <w:color w:val="2A3C52"/>
                <w:sz w:val="17"/>
                <w:szCs w:val="17"/>
              </w:rPr>
              <w:t xml:space="preserve">We have workloads spread across AWS, Azure, and on-premises data centers. Managing security…</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4. </w:t>
            </w:r>
            <w:r>
              <w:rPr>
                <w:rFonts w:ascii="Calibri" w:cs="Calibri" w:eastAsia="Calibri" w:hAnsi="Calibri"/>
                <w:color w:val="2A3C52"/>
                <w:sz w:val="17"/>
                <w:szCs w:val="17"/>
              </w:rPr>
              <w:t xml:space="preserve">We have workloads on-prem, in cloud, and in mixed environments, and policy consistency is…</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pPr>
            <w:r>
              <w:rPr>
                <w:rFonts w:ascii="Calibri" w:cs="Calibri" w:eastAsia="Calibri" w:hAnsi="Calibri"/>
                <w:b/>
                <w:bCs/>
                <w:color w:val="0D274D"/>
                <w:sz w:val="18"/>
                <w:szCs w:val="18"/>
              </w:rPr>
              <w:t xml:space="preserve">Case Study 2 total</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r>
              <w:rPr>
                <w:rFonts w:ascii="Calibri" w:cs="Calibri" w:eastAsia="Calibri" w:hAnsi="Calibri"/>
                <w:b/>
                <w:bCs/>
                <w:color w:val="0D274D"/>
                <w:sz w:val="17"/>
                <w:szCs w:val="17"/>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scoring</w:t>
      </w:r>
    </w:p>
    <w:p>
      <w:pPr>
        <w:spacing w:after="60" w:before="0" w:line="276"/>
      </w:pPr>
      <w:r>
        <w:rPr>
          <w:rFonts w:ascii="Calibri" w:cs="Calibri" w:eastAsia="Calibri" w:hAnsi="Calibri"/>
          <w:b/>
          <w:bCs/>
          <w:color w:val="0D274D"/>
          <w:sz w:val="42"/>
          <w:szCs w:val="42"/>
        </w:rPr>
        <w:t xml:space="preserve">DC Edge · Perimeter Firewall</w:t>
      </w:r>
    </w:p>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960"/>
        <w:gridCol w:w="1100"/>
        <w:gridCol w:w="1100"/>
        <w:gridCol w:w="1100"/>
        <w:gridCol w:w="1100"/>
      </w:tblGrid>
      <w:tr>
        <w:trPr>
          <w:tblHeader/>
        </w:trPr>
        <w:tc>
          <w:tcPr>
            <w:tcW w:type="dxa" w:w="496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left"/>
            </w:pPr>
            <w:r>
              <w:rPr>
                <w:rFonts w:ascii="Calibri" w:cs="Calibri" w:eastAsia="Calibri" w:hAnsi="Calibri"/>
                <w:b/>
                <w:bCs/>
                <w:caps/>
                <w:color w:val="FFFFFF"/>
                <w:sz w:val="14"/>
                <w:szCs w:val="14"/>
              </w:rPr>
              <w:t xml:space="preserve">Pain point</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PI /5</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SD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VC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Total /25</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1. </w:t>
            </w:r>
            <w:r>
              <w:rPr>
                <w:rFonts w:ascii="Calibri" w:cs="Calibri" w:eastAsia="Calibri" w:hAnsi="Calibri"/>
                <w:color w:val="2A3C52"/>
                <w:sz w:val="17"/>
                <w:szCs w:val="17"/>
              </w:rPr>
              <w:t xml:space="preserve">When our security tools detect a compromised device, our manual response time is too slow. By…</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2. </w:t>
            </w:r>
            <w:r>
              <w:rPr>
                <w:rFonts w:ascii="Calibri" w:cs="Calibri" w:eastAsia="Calibri" w:hAnsi="Calibri"/>
                <w:color w:val="2A3C52"/>
                <w:sz w:val="17"/>
                <w:szCs w:val="17"/>
              </w:rPr>
              <w:t xml:space="preserve">Our firewall environment has become too complex to manage manually.</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3. </w:t>
            </w:r>
            <w:r>
              <w:rPr>
                <w:rFonts w:ascii="Calibri" w:cs="Calibri" w:eastAsia="Calibri" w:hAnsi="Calibri"/>
                <w:color w:val="2A3C52"/>
                <w:sz w:val="17"/>
                <w:szCs w:val="17"/>
              </w:rPr>
              <w:t xml:space="preserve">Most of our traffic is encrypted, so we've lost visibility into a huge part of our environment.</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4. </w:t>
            </w:r>
            <w:r>
              <w:rPr>
                <w:rFonts w:ascii="Calibri" w:cs="Calibri" w:eastAsia="Calibri" w:hAnsi="Calibri"/>
                <w:color w:val="2A3C52"/>
                <w:sz w:val="17"/>
                <w:szCs w:val="17"/>
              </w:rPr>
              <w:t xml:space="preserve">We're worried traditional signature-based detection won't catch new or unknown attacks…</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pPr>
            <w:r>
              <w:rPr>
                <w:rFonts w:ascii="Calibri" w:cs="Calibri" w:eastAsia="Calibri" w:hAnsi="Calibri"/>
                <w:b/>
                <w:bCs/>
                <w:color w:val="0D274D"/>
                <w:sz w:val="18"/>
                <w:szCs w:val="18"/>
              </w:rPr>
              <w:t xml:space="preserve">Case Study 3 total</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r>
              <w:rPr>
                <w:rFonts w:ascii="Calibri" w:cs="Calibri" w:eastAsia="Calibri" w:hAnsi="Calibri"/>
                <w:b/>
                <w:bCs/>
                <w:color w:val="0D274D"/>
                <w:sz w:val="17"/>
                <w:szCs w:val="17"/>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scoring</w:t>
      </w:r>
    </w:p>
    <w:p>
      <w:pPr>
        <w:spacing w:after="60" w:before="0" w:line="276"/>
      </w:pPr>
      <w:r>
        <w:rPr>
          <w:rFonts w:ascii="Calibri" w:cs="Calibri" w:eastAsia="Calibri" w:hAnsi="Calibri"/>
          <w:b/>
          <w:bCs/>
          <w:color w:val="0D274D"/>
          <w:sz w:val="42"/>
          <w:szCs w:val="42"/>
        </w:rPr>
        <w:t xml:space="preserve">Macro &amp; Micro Segmentation</w:t>
      </w:r>
    </w:p>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960"/>
        <w:gridCol w:w="1100"/>
        <w:gridCol w:w="1100"/>
        <w:gridCol w:w="1100"/>
        <w:gridCol w:w="1100"/>
      </w:tblGrid>
      <w:tr>
        <w:trPr>
          <w:tblHeader/>
        </w:trPr>
        <w:tc>
          <w:tcPr>
            <w:tcW w:type="dxa" w:w="496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left"/>
            </w:pPr>
            <w:r>
              <w:rPr>
                <w:rFonts w:ascii="Calibri" w:cs="Calibri" w:eastAsia="Calibri" w:hAnsi="Calibri"/>
                <w:b/>
                <w:bCs/>
                <w:caps/>
                <w:color w:val="FFFFFF"/>
                <w:sz w:val="14"/>
                <w:szCs w:val="14"/>
              </w:rPr>
              <w:t xml:space="preserve">Pain point</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PI /5</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SD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VC /10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Total /25</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1. </w:t>
            </w:r>
            <w:r>
              <w:rPr>
                <w:rFonts w:ascii="Calibri" w:cs="Calibri" w:eastAsia="Calibri" w:hAnsi="Calibri"/>
                <w:color w:val="2A3C52"/>
                <w:sz w:val="17"/>
                <w:szCs w:val="17"/>
              </w:rPr>
              <w:t xml:space="preserve">Network policy helps, but we also need to know what's happening at runtime inside the…</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2. </w:t>
            </w:r>
            <w:r>
              <w:rPr>
                <w:rFonts w:ascii="Calibri" w:cs="Calibri" w:eastAsia="Calibri" w:hAnsi="Calibri"/>
                <w:color w:val="2A3C52"/>
                <w:sz w:val="17"/>
                <w:szCs w:val="17"/>
              </w:rPr>
              <w:t xml:space="preserve">Our Kubernetes networking feels fragmented across clusters and environments. We're dealing…</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3. </w:t>
            </w:r>
            <w:r>
              <w:rPr>
                <w:rFonts w:ascii="Calibri" w:cs="Calibri" w:eastAsia="Calibri" w:hAnsi="Calibri"/>
                <w:color w:val="2A3C52"/>
                <w:sz w:val="17"/>
                <w:szCs w:val="17"/>
              </w:rPr>
              <w:t xml:space="preserve">Right now we're stitching together separate tools for networking, security, and observability…</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left"/>
            </w:pPr>
            <w:r>
              <w:rPr>
                <w:rFonts w:ascii="Calibri" w:cs="Calibri" w:eastAsia="Calibri" w:hAnsi="Calibri"/>
                <w:b/>
                <w:bCs/>
                <w:color w:val="0D274D"/>
                <w:sz w:val="17"/>
                <w:szCs w:val="17"/>
              </w:rPr>
              <w:t xml:space="preserve">4. </w:t>
            </w:r>
            <w:r>
              <w:rPr>
                <w:rFonts w:ascii="Calibri" w:cs="Calibri" w:eastAsia="Calibri" w:hAnsi="Calibri"/>
                <w:color w:val="2A3C52"/>
                <w:sz w:val="17"/>
                <w:szCs w:val="17"/>
              </w:rPr>
              <w:t xml:space="preserve">We know we need microsegmentation, but we don't have enough visibility into east-west flows…</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80"/>
              <w:left w:type="dxa" w:w="110"/>
              <w:bottom w:type="dxa" w:w="8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pPr>
            <w:r>
              <w:rPr>
                <w:rFonts w:ascii="Calibri" w:cs="Calibri" w:eastAsia="Calibri" w:hAnsi="Calibri"/>
                <w:b/>
                <w:bCs/>
                <w:color w:val="0D274D"/>
                <w:sz w:val="18"/>
                <w:szCs w:val="18"/>
              </w:rPr>
              <w:t xml:space="preserve">Case Study 4 total</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C4D2E2" w:sz="10"/>
              <w:left w:val="none" w:color="FFFFFF" w:sz="0"/>
              <w:bottom w:val="none" w:color="FFFFFF" w:sz="0"/>
              <w:right w:val="none" w:color="FFFFFF" w:sz="0"/>
            </w:tcBorders>
            <w:shd w:fill="EAF1F8" w:color="auto" w:val="clear"/>
            <w:tcMar>
              <w:top w:type="dxa" w:w="80"/>
              <w:left w:type="dxa" w:w="110"/>
              <w:bottom w:type="dxa" w:w="80"/>
              <w:right w:type="dxa" w:w="110"/>
            </w:tcMar>
          </w:tcPr>
          <w:p>
            <w:pPr>
              <w:spacing w:after="0" w:before="0" w:line="276"/>
              <w:jc w:val="center"/>
            </w:pPr>
            <w:r>
              <w:rPr>
                <w:rFonts w:ascii="Calibri" w:cs="Calibri" w:eastAsia="Calibri" w:hAnsi="Calibri"/>
                <w:color w:val="9AA8BC"/>
                <w:sz w:val="18"/>
                <w:szCs w:val="18"/>
              </w:rPr>
              <w:t xml:space="preserve">_______</w:t>
            </w:r>
            <w:r>
              <w:rPr>
                <w:rFonts w:ascii="Calibri" w:cs="Calibri" w:eastAsia="Calibri" w:hAnsi="Calibri"/>
                <w:b/>
                <w:bCs/>
                <w:color w:val="0D274D"/>
                <w:sz w:val="17"/>
                <w:szCs w:val="17"/>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960"/>
        <w:gridCol w:w="1100"/>
        <w:gridCol w:w="1100"/>
        <w:gridCol w:w="1100"/>
        <w:gridCol w:w="1100"/>
      </w:tblGrid>
      <w:tr>
        <w:trPr>
          <w:tblHeader/>
        </w:trPr>
        <w:tc>
          <w:tcPr>
            <w:tcW w:type="dxa" w:w="496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left"/>
            </w:pPr>
            <w:r>
              <w:rPr>
                <w:rFonts w:ascii="Calibri" w:cs="Calibri" w:eastAsia="Calibri" w:hAnsi="Calibri"/>
                <w:b/>
                <w:bCs/>
                <w:caps/>
                <w:color w:val="FFFFFF"/>
                <w:sz w:val="14"/>
                <w:szCs w:val="14"/>
              </w:rPr>
              <w:t xml:space="preserve">Case Study</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PI /20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SD /40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 VC /40</w:t>
            </w:r>
          </w:p>
        </w:tc>
        <w:tc>
          <w:tcPr>
            <w:tcW w:type="dxa" w:w="1100"/>
            <w:tcBorders>
              <w:top w:val="none" w:color="FFFFFF" w:sz="0"/>
              <w:left w:val="none" w:color="FFFFFF" w:sz="0"/>
              <w:bottom w:val="none" w:color="FFFFFF" w:sz="0"/>
              <w:right w:val="none" w:color="FFFFFF" w:sz="0"/>
            </w:tcBorders>
            <w:shd w:fill="0D274D" w:color="auto" w:val="clear"/>
            <w:tcMar>
              <w:top w:type="dxa" w:w="70"/>
              <w:left w:type="dxa" w:w="110"/>
              <w:bottom w:type="dxa" w:w="70"/>
              <w:right w:type="dxa" w:w="110"/>
            </w:tcMar>
          </w:tcPr>
          <w:p>
            <w:pPr>
              <w:spacing w:after="0" w:before="0" w:line="276"/>
              <w:jc w:val="center"/>
            </w:pPr>
            <w:r>
              <w:rPr>
                <w:rFonts w:ascii="Calibri" w:cs="Calibri" w:eastAsia="Calibri" w:hAnsi="Calibri"/>
                <w:b/>
                <w:bCs/>
                <w:caps/>
                <w:color w:val="FFFFFF"/>
                <w:sz w:val="14"/>
                <w:szCs w:val="14"/>
              </w:rPr>
              <w:t xml:space="preserve">Total /100</w:t>
            </w:r>
          </w:p>
        </w:tc>
      </w:tr>
      <w:tr>
        <w:tc>
          <w:tcPr>
            <w:tcW w:type="dxa" w:w="496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left"/>
            </w:pPr>
            <w:r>
              <w:rPr>
                <w:rFonts w:ascii="Calibri" w:cs="Calibri" w:eastAsia="Calibri" w:hAnsi="Calibri"/>
                <w:b/>
                <w:bCs/>
                <w:color w:val="0D274D"/>
                <w:sz w:val="18"/>
                <w:szCs w:val="18"/>
              </w:rPr>
              <w:t xml:space="preserve">1. </w:t>
            </w:r>
            <w:r>
              <w:rPr>
                <w:rFonts w:ascii="Calibri" w:cs="Calibri" w:eastAsia="Calibri" w:hAnsi="Calibri"/>
                <w:color w:val="2A3C52"/>
                <w:sz w:val="18"/>
                <w:szCs w:val="18"/>
              </w:rPr>
              <w:t xml:space="preserve">AI Security</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left"/>
            </w:pPr>
            <w:r>
              <w:rPr>
                <w:rFonts w:ascii="Calibri" w:cs="Calibri" w:eastAsia="Calibri" w:hAnsi="Calibri"/>
                <w:b/>
                <w:bCs/>
                <w:color w:val="0D274D"/>
                <w:sz w:val="18"/>
                <w:szCs w:val="18"/>
              </w:rPr>
              <w:t xml:space="preserve">2. </w:t>
            </w:r>
            <w:r>
              <w:rPr>
                <w:rFonts w:ascii="Calibri" w:cs="Calibri" w:eastAsia="Calibri" w:hAnsi="Calibri"/>
                <w:color w:val="2A3C52"/>
                <w:sz w:val="18"/>
                <w:szCs w:val="18"/>
              </w:rPr>
              <w:t xml:space="preserve">Cloud Edge</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left"/>
            </w:pPr>
            <w:r>
              <w:rPr>
                <w:rFonts w:ascii="Calibri" w:cs="Calibri" w:eastAsia="Calibri" w:hAnsi="Calibri"/>
                <w:b/>
                <w:bCs/>
                <w:color w:val="0D274D"/>
                <w:sz w:val="18"/>
                <w:szCs w:val="18"/>
              </w:rPr>
              <w:t xml:space="preserve">3. </w:t>
            </w:r>
            <w:r>
              <w:rPr>
                <w:rFonts w:ascii="Calibri" w:cs="Calibri" w:eastAsia="Calibri" w:hAnsi="Calibri"/>
                <w:color w:val="2A3C52"/>
                <w:sz w:val="18"/>
                <w:szCs w:val="18"/>
              </w:rPr>
              <w:t xml:space="preserve">DC Edge · Perimeter Firewall</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left"/>
            </w:pPr>
            <w:r>
              <w:rPr>
                <w:rFonts w:ascii="Calibri" w:cs="Calibri" w:eastAsia="Calibri" w:hAnsi="Calibri"/>
                <w:b/>
                <w:bCs/>
                <w:color w:val="0D274D"/>
                <w:sz w:val="18"/>
                <w:szCs w:val="18"/>
              </w:rPr>
              <w:t xml:space="preserve">4. </w:t>
            </w:r>
            <w:r>
              <w:rPr>
                <w:rFonts w:ascii="Calibri" w:cs="Calibri" w:eastAsia="Calibri" w:hAnsi="Calibri"/>
                <w:color w:val="2A3C52"/>
                <w:sz w:val="18"/>
                <w:szCs w:val="18"/>
              </w:rPr>
              <w:t xml:space="preserve">Macro &amp; Micro Segmentation</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r>
      <w:tr>
        <w:tc>
          <w:tcPr>
            <w:tcW w:type="dxa" w:w="4960"/>
            <w:tcBorders>
              <w:top w:val="single" w:color="E4EBF3" w:sz="4"/>
              <w:left w:val="none" w:color="FFFFFF" w:sz="0"/>
              <w:bottom w:val="none" w:color="FFFFFF" w:sz="0"/>
              <w:right w:val="none" w:color="FFFFFF" w:sz="0"/>
            </w:tcBorders>
            <w:shd w:fill="EAF1F8" w:color="auto" w:val="clear"/>
            <w:tcMar>
              <w:top w:type="dxa" w:w="90"/>
              <w:left w:type="dxa" w:w="110"/>
              <w:bottom w:type="dxa" w:w="90"/>
              <w:right w:type="dxa" w:w="110"/>
            </w:tcMar>
            <w:vAlign w:val="center"/>
          </w:tcPr>
          <w:p>
            <w:pPr>
              <w:spacing w:after="0" w:before="0" w:line="276"/>
              <w:jc w:val="left"/>
            </w:pPr>
            <w:r>
              <w:rPr>
                <w:rFonts w:ascii="Calibri" w:cs="Calibri" w:eastAsia="Calibri" w:hAnsi="Calibri"/>
                <w:b/>
                <w:bCs/>
                <w:color w:val="0D274D"/>
                <w:sz w:val="18"/>
                <w:szCs w:val="18"/>
              </w:rPr>
              <w:t xml:space="preserve">Overall total</w:t>
            </w:r>
          </w:p>
        </w:tc>
        <w:tc>
          <w:tcPr>
            <w:tcW w:type="dxa" w:w="1100"/>
            <w:tcBorders>
              <w:top w:val="single" w:color="E4EBF3" w:sz="4"/>
              <w:left w:val="none" w:color="FFFFFF" w:sz="0"/>
              <w:bottom w:val="none" w:color="FFFFFF" w:sz="0"/>
              <w:right w:val="none" w:color="FFFFFF" w:sz="0"/>
            </w:tcBorders>
            <w:shd w:fill="EAF1F8" w:color="auto" w:val="clear"/>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shd w:fill="EAF1F8" w:color="auto" w:val="clear"/>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shd w:fill="EAF1F8" w:color="auto" w:val="clear"/>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p>
        </w:tc>
        <w:tc>
          <w:tcPr>
            <w:tcW w:type="dxa" w:w="1100"/>
            <w:tcBorders>
              <w:top w:val="single" w:color="E4EBF3" w:sz="4"/>
              <w:left w:val="none" w:color="FFFFFF" w:sz="0"/>
              <w:bottom w:val="none" w:color="FFFFFF" w:sz="0"/>
              <w:right w:val="none" w:color="FFFFFF" w:sz="0"/>
            </w:tcBorders>
            <w:shd w:fill="EAF1F8" w:color="auto" w:val="clear"/>
            <w:tcMar>
              <w:top w:type="dxa" w:w="90"/>
              <w:left w:type="dxa" w:w="110"/>
              <w:bottom w:type="dxa" w:w="90"/>
              <w:right w:type="dxa" w:w="110"/>
            </w:tcMar>
            <w:vAlign w:val="center"/>
          </w:tcPr>
          <w:p>
            <w:pPr>
              <w:spacing w:after="0" w:before="0" w:line="276"/>
              <w:jc w:val="center"/>
            </w:pPr>
            <w:r>
              <w:rPr>
                <w:rFonts w:ascii="Calibri" w:cs="Calibri" w:eastAsia="Calibri" w:hAnsi="Calibri"/>
                <w:color w:val="9AA8BC"/>
                <w:sz w:val="18"/>
                <w:szCs w:val="18"/>
              </w:rPr>
              <w:t xml:space="preserve">_______</w:t>
            </w:r>
            <w:r>
              <w:rPr>
                <w:rFonts w:ascii="Calibri" w:cs="Calibri" w:eastAsia="Calibri" w:hAnsi="Calibri"/>
                <w:b/>
                <w:bCs/>
                <w:color w:val="0D274D"/>
                <w:sz w:val="17"/>
                <w:szCs w:val="17"/>
              </w:rPr>
              <w:t xml:space="preserve"> / 400</w:t>
            </w:r>
          </w:p>
        </w:tc>
      </w:tr>
    </w:tbl>
    <w:p>
      <w:pPr>
        <w:spacing w:after="0" w:before="80" w:line="276"/>
      </w:pPr>
      <w:r>
        <w:rPr>
          <w:rFonts w:ascii="Calibri" w:cs="Calibri" w:eastAsia="Calibri" w:hAnsi="Calibri"/>
          <w:color w:val="7E8CA1"/>
          <w:sz w:val="16"/>
          <w:szCs w:val="16"/>
        </w:rPr>
        <w:t xml:space="preserve">Per case study each dimension totals four pain points: Problem Identifier out of 20, Solution Designer out of 40, Value Communicator out of 40.</w:t>
      </w:r>
    </w:p>
    <w:p>
      <w:pPr>
        <w:spacing w:after="80" w:before="180" w:line="276"/>
      </w:pPr>
      <w:r>
        <w:rPr>
          <w:rFonts w:ascii="Calibri" w:cs="Calibri" w:eastAsia="Calibri" w:hAnsi="Calibri"/>
          <w:b/>
          <w:bCs/>
          <w:color w:val="0D274D"/>
          <w:sz w:val="30"/>
          <w:szCs w:val="30"/>
        </w:rPr>
        <w:t xml:space="preserve">Overall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2026-08-03T11:32:37.389Z</dcterms:created>
  <dcterms:modified xsi:type="dcterms:W3CDTF">2026-08-03T11:32:37.389Z</dcterms:modified>
</cp:coreProperties>
</file>

<file path=docProps/custom.xml><?xml version="1.0" encoding="utf-8"?>
<Properties xmlns="http://schemas.openxmlformats.org/officeDocument/2006/custom-properties" xmlns:vt="http://schemas.openxmlformats.org/officeDocument/2006/docPropsVTypes"/>
</file>