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2"/>
          <w:szCs w:val="42"/>
        </w:rPr>
        <w:t xml:space="preserve">Team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scored</w:t>
      </w:r>
    </w:p>
    <w:p>
      <w:pPr>
        <w:spacing w:after="100" w:before="0" w:line="276"/>
      </w:pPr>
      <w:r>
        <w:rPr>
          <w:rFonts w:ascii="Calibri" w:cs="Calibri" w:eastAsia="Calibri" w:hAnsi="Calibri"/>
          <w:color w:val="3A4C63"/>
          <w:sz w:val="21"/>
          <w:szCs w:val="21"/>
        </w:rPr>
        <w:t xml:space="preserve">Every pain point is worth </w:t>
      </w:r>
      <w:r>
        <w:rPr>
          <w:rFonts w:ascii="Calibri" w:cs="Calibri" w:eastAsia="Calibri" w:hAnsi="Calibri"/>
          <w:b/>
          <w:bCs/>
          <w:color w:val="0D274D"/>
          <w:sz w:val="21"/>
          <w:szCs w:val="21"/>
        </w:rPr>
        <w:t xml:space="preserve">25 points</w:t>
      </w:r>
      <w:r>
        <w:rPr>
          <w:rFonts w:ascii="Calibri" w:cs="Calibri" w:eastAsia="Calibri" w:hAnsi="Calibri"/>
          <w:color w:val="3A4C63"/>
          <w:sz w:val="21"/>
          <w:szCs w:val="21"/>
        </w:rPr>
        <w:t xml:space="preserve">, scored on three dimensions. Four pain points make 100 per case study, and four case studies make 400 in total. Strong answers earn on all three.</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 Problem Identifier</w:t>
            </w:r>
            <w:r>
              <w:rPr>
                <w:rFonts w:ascii="Calibri" w:cs="Calibri" w:eastAsia="Calibri" w:hAnsi="Calibri"/>
                <w:b/>
                <w:bCs/>
                <w:color w:val="7E8CA1"/>
                <w:sz w:val="16"/>
                <w:szCs w:val="16"/>
              </w:rPr>
              <w:t xml:space="preserve">   /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 Solution Designer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 Value Communicator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Name the fit, design the approach, and communicate the value.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Cisco Secure portfolio, at a glance</w:t>
      </w:r>
    </w:p>
    <w:p>
      <w:pPr>
        <w:spacing w:after="100" w:before="0" w:line="276"/>
      </w:pPr>
      <w:r>
        <w:rPr>
          <w:rFonts w:ascii="Calibri" w:cs="Calibri" w:eastAsia="Calibri" w:hAnsi="Calibri"/>
          <w:color w:val="3A4C63"/>
          <w:sz w:val="21"/>
          <w:szCs w:val="21"/>
        </w:rPr>
        <w:t xml:space="preserve">A quick decoder of the products in play. Which product fits which concern is for you to decide.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AI Defense</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Protects AI apps and models with validation, runtime guardrails, supply-chain scanning, and AI visibility across clouds.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Multicloud Defense</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Gives one security policy plane across AWS, Azure and GCP, with segmentation, egress control, and unified visibility.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(FTD) + FMC</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next-generation firewall and its manager, the Firewall Management Center.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Security Cloud Control</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Cloud-delivered management across the whole firewall estate.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Workload</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Maps how applications actually talk, then drives safe micro-segmentation.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ISE</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Identity Services Engine that knows who and what is on the network and can quarantine fast.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Cilium</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Kubernetes networking and policy.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Tetragon</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runtime security and threat detection for workloads.</w:t>
            </w:r>
          </w:p>
        </w:tc>
      </w:tr>
    </w:tbl>
    <w:p>
      <w:pPr>
        <w:spacing w:after="80" w:before="180" w:line="276"/>
      </w:pPr>
      <w:r>
        <w:rPr>
          <w:rFonts w:ascii="Calibri" w:cs="Calibri" w:eastAsia="Calibri" w:hAnsi="Calibri"/>
          <w:b/>
          <w:bCs/>
          <w:color w:val="0D274D"/>
          <w:sz w:val="30"/>
          <w:szCs w:val="30"/>
        </w:rPr>
        <w:t xml:space="preserve">Decode the jargon</w:t>
      </w:r>
    </w:p>
    <w:p>
      <w:pPr>
        <w:spacing w:after="100" w:before="0" w:line="276"/>
      </w:pPr>
      <w:r>
        <w:rPr>
          <w:rFonts w:ascii="Calibri" w:cs="Calibri" w:eastAsia="Calibri" w:hAnsi="Calibri"/>
          <w:color w:val="3A4C63"/>
          <w:sz w:val="21"/>
          <w:szCs w:val="21"/>
        </w:rPr>
        <w:t xml:space="preserve">The terms you will hear Cedarline use, in plain English.</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w:t>
      </w:r>
    </w:p>
    <w:p>
      <w:pPr>
        <w:spacing w:after="60" w:before="0" w:line="276"/>
      </w:pPr>
      <w:r>
        <w:rPr>
          <w:rFonts w:ascii="Calibri" w:cs="Calibri" w:eastAsia="Calibri" w:hAnsi="Calibri"/>
          <w:b/>
          <w:bCs/>
          <w:color w:val="0D274D"/>
          <w:sz w:val="42"/>
          <w:szCs w:val="42"/>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Case Study 1 · AI Security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Case Study 1 · AI Security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Case Study 1 · AI Security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Case Study 1 · AI Security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w:t>
      </w:r>
    </w:p>
    <w:p>
      <w:pPr>
        <w:spacing w:after="60" w:before="0" w:line="276"/>
      </w:pPr>
      <w:r>
        <w:rPr>
          <w:rFonts w:ascii="Calibri" w:cs="Calibri" w:eastAsia="Calibri" w:hAnsi="Calibri"/>
          <w:b/>
          <w:bCs/>
          <w:color w:val="0D274D"/>
          <w:sz w:val="42"/>
          <w:szCs w:val="42"/>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Case Study 2 · Cloud Edge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Case Study 2 · Cloud Edge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Case Study 2 · Cloud Edge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Case Study 2 · Cloud Edge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w:t>
      </w:r>
    </w:p>
    <w:p>
      <w:pPr>
        <w:spacing w:after="60" w:before="0" w:line="276"/>
      </w:pPr>
      <w:r>
        <w:rPr>
          <w:rFonts w:ascii="Calibri" w:cs="Calibri" w:eastAsia="Calibri" w:hAnsi="Calibri"/>
          <w:b/>
          <w:bCs/>
          <w:color w:val="0D274D"/>
          <w:sz w:val="42"/>
          <w:szCs w:val="42"/>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Case Study 3 · DC Edge · Perimeter Firewall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Case Study 3 · DC Edge · Perimeter Firewall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Case Study 3 · DC Edge · Perimeter Firewall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Case Study 3 · DC Edge · Perimeter Firewall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w:t>
      </w:r>
    </w:p>
    <w:p>
      <w:pPr>
        <w:spacing w:after="60" w:before="0" w:line="276"/>
      </w:pPr>
      <w:r>
        <w:rPr>
          <w:rFonts w:ascii="Calibri" w:cs="Calibri" w:eastAsia="Calibri" w:hAnsi="Calibri"/>
          <w:b/>
          <w:bCs/>
          <w:color w:val="0D274D"/>
          <w:sz w:val="42"/>
          <w:szCs w:val="42"/>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Case Study 4 · Macro &amp; Micro Segmentation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Case Study 4 · Macro &amp; Micro Segmentation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Case Study 4 · Macro &amp; Micro Segmentation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Case Study 4 · Macro &amp; Micro Segmentation ·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3DEEA" w:sz="6"/>
              <w:left w:val="single" w:color="D3DEEA" w:sz="6"/>
              <w:bottom w:val="single" w:color="D3DEEA" w:sz="6"/>
              <w:right w:val="single" w:color="D3DEEA"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Scored on three dimensions:  </w:t>
            </w:r>
            <w:r>
              <w:rPr>
                <w:rFonts w:ascii="Calibri" w:cs="Calibri" w:eastAsia="Calibri" w:hAnsi="Calibri"/>
                <w:b/>
                <w:bCs/>
                <w:color w:val="4A3AA8"/>
                <w:sz w:val="16"/>
                <w:szCs w:val="16"/>
              </w:rPr>
              <w:t xml:space="preserve">🔍 Problem Identifier (/5) </w:t>
            </w:r>
            <w:r>
              <w:rPr>
                <w:rFonts w:ascii="Calibri" w:cs="Calibri" w:eastAsia="Calibri" w:hAnsi="Calibri"/>
                <w:color w:val="5A6E86"/>
                <w:sz w:val="16"/>
                <w:szCs w:val="16"/>
              </w:rPr>
              <w:t xml:space="preserve">identify the pain point and requirements.  </w:t>
            </w:r>
            <w:r>
              <w:rPr>
                <w:rFonts w:ascii="Calibri" w:cs="Calibri" w:eastAsia="Calibri" w:hAnsi="Calibri"/>
                <w:b/>
                <w:bCs/>
                <w:color w:val="0B6670"/>
                <w:sz w:val="16"/>
                <w:szCs w:val="16"/>
              </w:rPr>
              <w:t xml:space="preserve">🏗️ Solution Designer (/10) </w:t>
            </w:r>
            <w:r>
              <w:rPr>
                <w:rFonts w:ascii="Calibri" w:cs="Calibri" w:eastAsia="Calibri" w:hAnsi="Calibri"/>
                <w:color w:val="5A6E86"/>
                <w:sz w:val="16"/>
                <w:szCs w:val="16"/>
              </w:rPr>
              <w:t xml:space="preserve">recommend the right Cisco solution, architecture and approach.  </w:t>
            </w:r>
            <w:r>
              <w:rPr>
                <w:rFonts w:ascii="Calibri" w:cs="Calibri" w:eastAsia="Calibri" w:hAnsi="Calibri"/>
                <w:b/>
                <w:bCs/>
                <w:color w:val="9A6516"/>
                <w:sz w:val="16"/>
                <w:szCs w:val="16"/>
              </w:rPr>
              <w:t xml:space="preserve">🎯 Value Communicator (/10) </w:t>
            </w:r>
            <w:r>
              <w:rPr>
                <w:rFonts w:ascii="Calibri" w:cs="Calibri" w:eastAsia="Calibri" w:hAnsi="Calibri"/>
                <w:color w:val="5A6E86"/>
                <w:sz w:val="16"/>
                <w:szCs w:val="16"/>
              </w:rPr>
              <w:t xml:space="preserve">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then be ready to walk Cedarline through it like the trusted advisors you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222" w:hRule="atLeast"/>
        </w:trPr>
        <w:tc>
          <w:tcPr>
            <w:tcW w:type="dxa" w:w="9360"/>
            <w:tcBorders>
              <w:top w:val="single" w:color="00BCEB" w:sz="6"/>
              <w:left w:val="single" w:color="00BCEB" w:sz="6"/>
              <w:bottom w:val="single" w:color="00BCEB" w:sz="6"/>
              <w:right w:val="single" w:color="00BCEB"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color w:val="036C8F"/>
                <w:sz w:val="56"/>
                <w:szCs w:val="56"/>
              </w:rPr>
              <w:t xml:space="preserve">▦</w:t>
            </w:r>
          </w:p>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AI Security, Cloud Edge, DC Edge and Segmentation connect across Cedarline's on-prem, data-centre and multicloud estate.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2026-08-03T11:32:37.299Z</dcterms:created>
  <dcterms:modified xsi:type="dcterms:W3CDTF">2026-08-03T11:32:37.321Z</dcterms:modified>
</cp:coreProperties>
</file>

<file path=docProps/custom.xml><?xml version="1.0" encoding="utf-8"?>
<Properties xmlns="http://schemas.openxmlformats.org/officeDocument/2006/custom-properties" xmlns:vt="http://schemas.openxmlformats.org/officeDocument/2006/docPropsVTypes"/>
</file>