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each pain point across three dimensions</w:t>
      </w:r>
    </w:p>
    <w:p>
      <w:pPr>
        <w:spacing w:after="100" w:before="0" w:line="276"/>
      </w:pPr>
      <w:r>
        <w:rPr>
          <w:rFonts w:ascii="Calibri" w:cs="Calibri" w:eastAsia="Calibri" w:hAnsi="Calibri"/>
          <w:color w:val="3A4C63"/>
          <w:sz w:val="21"/>
          <w:szCs w:val="21"/>
        </w:rPr>
        <w:t xml:space="preserve">Each pain point is scored across the three dimensions below: Problem Identifier out of 5, Solution Designer out of 10, and Value Communicator out of 10, for 25 per pain point. Four pain points make a case study score out of 100, and the four case studies make a cumulative score out of 400. The model answers that follow map to these three dimensions. Use the Grading Guide for the full rubric.</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2026-08-04T01:44:29.784Z</dcterms:created>
  <dcterms:modified xsi:type="dcterms:W3CDTF">2026-08-04T01:44:29.784Z</dcterms:modified>
</cp:coreProperties>
</file>

<file path=docProps/custom.xml><?xml version="1.0" encoding="utf-8"?>
<Properties xmlns="http://schemas.openxmlformats.org/officeDocument/2006/custom-properties" xmlns:vt="http://schemas.openxmlformats.org/officeDocument/2006/docPropsVTypes"/>
</file>