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case study is scored across its four pain points, giving a case study score and an overall score for the clinic. Alongside the score, your answers are assessed on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Product glossary</w:t>
      </w:r>
    </w:p>
    <w:p>
      <w:pPr>
        <w:spacing w:after="100" w:before="0" w:line="276"/>
      </w:pPr>
      <w:r>
        <w:rPr>
          <w:rFonts w:ascii="Calibri" w:cs="Calibri" w:eastAsia="Calibri" w:hAnsi="Calibri"/>
          <w:color w:val="3A4C63"/>
          <w:sz w:val="21"/>
          <w:szCs w:val="21"/>
        </w:rPr>
        <w:t xml:space="preserve">Every Cisco product, capability and term used in the clinic. Which product fits which concern is for you to decide.</w:t>
      </w:r>
    </w:p>
    <w:p>
      <w:pPr>
        <w:spacing w:after="50" w:before="150" w:line="276"/>
      </w:pPr>
      <w:r>
        <w:rPr>
          <w:rFonts w:ascii="Calibri" w:cs="Calibri" w:eastAsia="Calibri" w:hAnsi="Calibri"/>
          <w:b/>
          <w:bCs/>
          <w:caps/>
          <w:color w:val="0D274D"/>
          <w:sz w:val="22"/>
          <w:szCs w:val="22"/>
        </w:rPr>
        <w:t xml:space="preserve">Platforms and products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AI Defense</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Secures AI applications and models across build and runtime. It validates models and applications, scans the AI supply chain (models, repositories and MCP servers), discovers AI assets across the cloud, and applies runtime guardrails to prompt and response traffic.</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Multicloud Defense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One security policy plane across public clouds. It provides consistent segmentation, egress control, traffic visibility and policy enforcement across AWS, Azure and GCP, and integrates with AI Defense for cloud runtime enforcement.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(FTD)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next-generation firewall, Firewall Threat Defense. It delivers perimeter and data-centre enforcement with intrusion prevention, application control and advanced threat detection.</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Management Center (FMC)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centralised manager for the Secure Firewall estate, handling policy, logging and reporting across firewalls.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Security Cloud Control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Cloud-delivered management across the firewall and security estate, for unified policy administration and rule cleanup at scale.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Workload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Application-dependency mapping and micro-segmentation. It reveals how workloads actually communicate, then drives safe segmentation policy before it is enforced.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Identity Services Engine (ISE)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Network identity and access control. It knows who and what is on the network and enables rapid, automated quarantine of compromised devices.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Hypershield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AI-native, highly distributed security enforcement. It provides autonomous, in-kernel (eBPF) segmentation and protection for workloads at scale.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Cilium</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Kubernetes networking and policy, giving consistent connectivity and policy enforcement across clusters and environments.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Tetragon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runtime security for workloads, detecting suspicious system and network behaviour in real time.</w:t>
            </w:r>
          </w:p>
        </w:tc>
      </w:tr>
    </w:tbl>
    <w:p>
      <w:pPr>
        <w:spacing w:after="50" w:before="150" w:line="276"/>
      </w:pPr>
      <w:r>
        <w:rPr>
          <w:rFonts w:ascii="Calibri" w:cs="Calibri" w:eastAsia="Calibri" w:hAnsi="Calibri"/>
          <w:b/>
          <w:bCs/>
          <w:caps/>
          <w:color w:val="0D274D"/>
          <w:sz w:val="22"/>
          <w:szCs w:val="22"/>
        </w:rPr>
        <w:t xml:space="preserve">Key capabilities and features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Encrypted Visibility Engine (EVE)</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 Secure Firewall capability that infers threats from encrypted traffic patterns without decrypting the payload.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 Secure Firewall capability that adds machine-learning detection inside the Snort 3 engine to catch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ISE capability: a context-sharing fabric so security tools can act on identity, for example triggering an automatic quarantine.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Adaptive Network Control (ANC)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ISE capability that quarantines or restricts a device in real time when a threat is detected.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Security Group Tags (SGT)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Group-based policy tags (Cisco TrustSec) that enable scalable, identity-aware segmentation.</w:t>
            </w:r>
          </w:p>
        </w:tc>
      </w:tr>
    </w:tbl>
    <w:p>
      <w:pPr>
        <w:spacing w:after="50" w:before="150" w:line="276"/>
      </w:pPr>
      <w:r>
        <w:rPr>
          <w:rFonts w:ascii="Calibri" w:cs="Calibri" w:eastAsia="Calibri" w:hAnsi="Calibri"/>
          <w:b/>
          <w:bCs/>
          <w:caps/>
          <w:color w:val="0D274D"/>
          <w:sz w:val="22"/>
          <w:szCs w:val="22"/>
        </w:rPr>
        <w:t xml:space="preserve">Architecture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approach to consistent security enforcement across firewalls, cloud gateways, workloads and Kubernetes, all managed centrally.</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HMF product reference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Product reference for each pain point</w:t>
      </w:r>
    </w:p>
    <w:p>
      <w:pPr>
        <w:spacing w:after="100" w:before="0" w:line="276"/>
      </w:pPr>
      <w:r>
        <w:rPr>
          <w:rFonts w:ascii="Calibri" w:cs="Calibri" w:eastAsia="Calibri" w:hAnsi="Calibri"/>
          <w:color w:val="3A4C63"/>
          <w:sz w:val="21"/>
          <w:szCs w:val="21"/>
        </w:rPr>
        <w:t xml:space="preserve">Use this to identify the Cisco product, platform and feature that fits each pain point. Your job is then to explain, in your Solution Engineer response, how it addresses the concern and the outcome it delivers.</w:t>
      </w:r>
    </w:p>
    <w:p>
      <w:pPr>
        <w:spacing w:after="50" w:before="150" w:line="276"/>
      </w:pPr>
      <w:r>
        <w:rPr>
          <w:rFonts w:ascii="Calibri" w:cs="Calibri" w:eastAsia="Calibri" w:hAnsi="Calibri"/>
          <w:b/>
          <w:bCs/>
          <w:caps/>
          <w:color w:val="0D274D"/>
          <w:sz w:val="22"/>
          <w:szCs w:val="22"/>
        </w:rPr>
        <w:t xml:space="preserve">Case Study 1</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118"/>
        <w:gridCol w:w="3089"/>
        <w:gridCol w:w="2153"/>
      </w:tblGrid>
      <w:tr>
        <w:trPr>
          <w:tblHeader/>
        </w:trPr>
        <w:tc>
          <w:tcPr>
            <w:tcW w:type="dxa" w:w="4118"/>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Pain point</w:t>
            </w:r>
          </w:p>
        </w:tc>
        <w:tc>
          <w:tcPr>
            <w:tcW w:type="dxa" w:w="3089"/>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Product / platform</w:t>
            </w:r>
          </w:p>
        </w:tc>
        <w:tc>
          <w:tcPr>
            <w:tcW w:type="dxa" w:w="2153"/>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Feature or capability</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Under the EU AI Act, we are classified as a 'Provider' for our…</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AI Defense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AI Model and Application Validation</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We are integrating various open-source models and third-party…</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AI Defense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Supply Chain Risk Management</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We know AI is showing up across our cloud environments faster than…</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AI Defense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AI Cloud Visibility</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We're running AI workloads in cloud accounts, but we don't have a…</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AI Defense with Cisco Multicloud Defense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AI Runtime Protection</w:t>
            </w:r>
          </w:p>
        </w:tc>
      </w:tr>
    </w:tbl>
    <w:p>
      <w:pPr>
        <w:spacing w:after="50" w:before="150" w:line="276"/>
      </w:pPr>
      <w:r>
        <w:rPr>
          <w:rFonts w:ascii="Calibri" w:cs="Calibri" w:eastAsia="Calibri" w:hAnsi="Calibri"/>
          <w:b/>
          <w:bCs/>
          <w:caps/>
          <w:color w:val="0D274D"/>
          <w:sz w:val="22"/>
          <w:szCs w:val="22"/>
        </w:rPr>
        <w:t xml:space="preserve">Case Study 2</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118"/>
        <w:gridCol w:w="3089"/>
        <w:gridCol w:w="2153"/>
      </w:tblGrid>
      <w:tr>
        <w:trPr>
          <w:tblHeader/>
        </w:trPr>
        <w:tc>
          <w:tcPr>
            <w:tcW w:type="dxa" w:w="4118"/>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Pain point</w:t>
            </w:r>
          </w:p>
        </w:tc>
        <w:tc>
          <w:tcPr>
            <w:tcW w:type="dxa" w:w="3089"/>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Product / platform</w:t>
            </w:r>
          </w:p>
        </w:tc>
        <w:tc>
          <w:tcPr>
            <w:tcW w:type="dxa" w:w="2153"/>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Feature or capability</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If a breach occurs in one of our public cloud instances, we are…</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Multicloud Defense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macro and micro-segmentation gateways</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auditors require proof that our security controls are applied…</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Multicloud Defense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unified logging and visibility</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We have workloads spread across AWS, Azure, and on-premises data…</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Multicloud Defense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unified policy across public clouds</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 have workloads on-prem, in cloud, and in mixed environments, and…</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Secure Workload with Cisco Secure Firewall</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managed via FMC and Security Cloud Control</w:t>
            </w:r>
          </w:p>
        </w:tc>
      </w:tr>
    </w:tbl>
    <w:p>
      <w:pPr>
        <w:spacing w:after="50" w:before="150" w:line="276"/>
      </w:pPr>
      <w:r>
        <w:rPr>
          <w:rFonts w:ascii="Calibri" w:cs="Calibri" w:eastAsia="Calibri" w:hAnsi="Calibri"/>
          <w:b/>
          <w:bCs/>
          <w:caps/>
          <w:color w:val="0D274D"/>
          <w:sz w:val="22"/>
          <w:szCs w:val="22"/>
        </w:rPr>
        <w:t xml:space="preserve">Case Study 3</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118"/>
        <w:gridCol w:w="3089"/>
        <w:gridCol w:w="2153"/>
      </w:tblGrid>
      <w:tr>
        <w:trPr>
          <w:tblHeader/>
        </w:trPr>
        <w:tc>
          <w:tcPr>
            <w:tcW w:type="dxa" w:w="4118"/>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Pain point</w:t>
            </w:r>
          </w:p>
        </w:tc>
        <w:tc>
          <w:tcPr>
            <w:tcW w:type="dxa" w:w="3089"/>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Product / platform</w:t>
            </w:r>
          </w:p>
        </w:tc>
        <w:tc>
          <w:tcPr>
            <w:tcW w:type="dxa" w:w="2153"/>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Feature or capability</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When our security tools detect a compromised device, our manual…</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ISE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Security Group Tags via pxGrid and Adaptive Network Control</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firewall environment has become too complex to manage manually.</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Security Cloud Control with FMC and Cisco Secure Firewall</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unified policy administration</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Most of our traffic is encrypted, so we've lost visibility into a…</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Secure Firewall with the Encrypted Visibility Engine</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EVE</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We're worried traditional signature-based detection won't catch new…</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Secure Firewall with Snort ML</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 </w:t>
            </w:r>
          </w:p>
        </w:tc>
      </w:tr>
    </w:tbl>
    <w:p>
      <w:pPr>
        <w:spacing w:after="50" w:before="150" w:line="276"/>
      </w:pPr>
      <w:r>
        <w:rPr>
          <w:rFonts w:ascii="Calibri" w:cs="Calibri" w:eastAsia="Calibri" w:hAnsi="Calibri"/>
          <w:b/>
          <w:bCs/>
          <w:caps/>
          <w:color w:val="0D274D"/>
          <w:sz w:val="22"/>
          <w:szCs w:val="22"/>
        </w:rPr>
        <w:t xml:space="preserve">Case Study 4</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4118"/>
        <w:gridCol w:w="3089"/>
        <w:gridCol w:w="2153"/>
      </w:tblGrid>
      <w:tr>
        <w:trPr>
          <w:tblHeader/>
        </w:trPr>
        <w:tc>
          <w:tcPr>
            <w:tcW w:type="dxa" w:w="4118"/>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Pain point</w:t>
            </w:r>
          </w:p>
        </w:tc>
        <w:tc>
          <w:tcPr>
            <w:tcW w:type="dxa" w:w="3089"/>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Product / platform</w:t>
            </w:r>
          </w:p>
        </w:tc>
        <w:tc>
          <w:tcPr>
            <w:tcW w:type="dxa" w:w="2153"/>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pPr>
            <w:r>
              <w:rPr>
                <w:rFonts w:ascii="Calibri" w:cs="Calibri" w:eastAsia="Calibri" w:hAnsi="Calibri"/>
                <w:b/>
                <w:bCs/>
                <w:caps/>
                <w:color w:val="FFFFFF"/>
                <w:sz w:val="14"/>
                <w:szCs w:val="14"/>
              </w:rPr>
              <w:t xml:space="preserve">Feature or capability</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Network policy helps, but we also need to know what's happening at…</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Isovalent Tetragon</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eBPF runtime security</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Kubernetes networking feels fragmented across clusters and…</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Isovalent Cilium</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eBPF Kubernetes networking and policy</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Right now we're stitching together separate tools for networking,…</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Isovalent Cilium with Tetragon</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 </w:t>
            </w:r>
          </w:p>
        </w:tc>
      </w:tr>
      <w:tr>
        <w:tc>
          <w:tcPr>
            <w:tcW w:type="dxa" w:w="4118"/>
            <w:tcBorders>
              <w:top w:val="single" w:color="E4EBF3" w:sz="4"/>
              <w:left w:val="none" w:color="FFFFFF" w:sz="0"/>
              <w:bottom w:val="none" w:color="FFFFFF" w:sz="0"/>
              <w:right w:val="none" w:color="FFFFFF" w:sz="0"/>
            </w:tcBorders>
            <w:tcMar>
              <w:top w:type="dxa" w:w="70"/>
              <w:left w:type="dxa" w:w="120"/>
              <w:bottom w:type="dxa" w:w="70"/>
              <w:right w:type="dxa" w:w="11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 know we need microsegmentation, but we don't have enough…</w:t>
            </w:r>
          </w:p>
        </w:tc>
        <w:tc>
          <w:tcPr>
            <w:tcW w:type="dxa" w:w="3089"/>
            <w:tcBorders>
              <w:top w:val="single" w:color="E4EBF3" w:sz="4"/>
              <w:left w:val="none" w:color="FFFFFF" w:sz="0"/>
              <w:bottom w:val="none" w:color="FFFFFF" w:sz="0"/>
              <w:right w:val="none" w:color="FFFFFF" w:sz="0"/>
            </w:tcBorders>
            <w:tcMar>
              <w:top w:type="dxa" w:w="70"/>
              <w:left w:type="dxa" w:w="110"/>
              <w:bottom w:type="dxa" w:w="70"/>
              <w:right w:type="dxa" w:w="110"/>
            </w:tcMar>
          </w:tcPr>
          <w:p>
            <w:pPr>
              <w:spacing w:after="0" w:before="0" w:line="276"/>
            </w:pPr>
            <w:r>
              <w:rPr>
                <w:rFonts w:ascii="Calibri" w:cs="Calibri" w:eastAsia="Calibri" w:hAnsi="Calibri"/>
                <w:b/>
                <w:bCs/>
                <w:color w:val="0B6670"/>
                <w:sz w:val="17"/>
                <w:szCs w:val="17"/>
              </w:rPr>
              <w:t xml:space="preserve">Cisco Secure Workload</w:t>
            </w:r>
          </w:p>
        </w:tc>
        <w:tc>
          <w:tcPr>
            <w:tcW w:type="dxa" w:w="2153"/>
            <w:tcBorders>
              <w:top w:val="single" w:color="E4EBF3" w:sz="4"/>
              <w:left w:val="none" w:color="FFFFFF" w:sz="0"/>
              <w:bottom w:val="none" w:color="FFFFFF" w:sz="0"/>
              <w:right w:val="none" w:color="FFFFFF" w:sz="0"/>
            </w:tcBorders>
            <w:tcMar>
              <w:top w:type="dxa" w:w="70"/>
              <w:left w:type="dxa" w:w="110"/>
              <w:bottom w:type="dxa" w:w="70"/>
              <w:right w:type="dxa" w:w="120"/>
            </w:tcMar>
          </w:tcPr>
          <w:p>
            <w:pPr>
              <w:spacing w:after="0" w:before="0" w:line="276"/>
            </w:pPr>
            <w:r>
              <w:rPr>
                <w:rFonts w:ascii="Calibri" w:cs="Calibri" w:eastAsia="Calibri" w:hAnsi="Calibri"/>
                <w:color w:val="46566E"/>
                <w:sz w:val="17"/>
                <w:szCs w:val="17"/>
              </w:rPr>
              <w:t xml:space="preserve">application dependency mapping</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2026-08-03T20:02:49.981Z</dcterms:created>
  <dcterms:modified xsi:type="dcterms:W3CDTF">2026-08-03T20:02:49.981Z</dcterms:modified>
</cp:coreProperties>
</file>

<file path=docProps/custom.xml><?xml version="1.0" encoding="utf-8"?>
<Properties xmlns="http://schemas.openxmlformats.org/officeDocument/2006/custom-properties" xmlns:vt="http://schemas.openxmlformats.org/officeDocument/2006/docPropsVTypes"/>
</file>