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aps/>
          <w:color w:val="036C8F"/>
          <w:sz w:val="18"/>
          <w:szCs w:val="18"/>
        </w:rPr>
        <w:t xml:space="preserve">HMF DESIGN CLINIC · ANSWER SHEET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D274D"/>
          <w:sz w:val="32"/>
          <w:szCs w:val="32"/>
        </w:rPr>
        <w:t xml:space="preserve">Use Case 2: Cloud Edge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6566E"/>
          <w:sz w:val="20"/>
          <w:szCs w:val="20"/>
        </w:rPr>
        <w:t xml:space="preserve">Multicloud posture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name: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code: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Members: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____________________________</w:t>
      </w:r>
    </w:p>
    <w:p>
      <w:pPr>
        <w:pBdr>
          <w:bottom w:val="single" w:color="CBD5E3" w:sz="6" w:space="1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46566E"/>
          <w:sz w:val="22"/>
          <w:szCs w:val="22"/>
        </w:rPr>
        <w:t xml:space="preserve">Claims analytics runs in AWS, the patient portal in Azure, data science in GCP — three teams, three policy models, three mental models.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0"/>
          <w:szCs w:val="20"/>
        </w:rPr>
        <w:t xml:space="preserve">For each customer concern below, write the Product / platform that solves it and a Solution-Engineer response — how it addresses the concern and how it helps Cedarline.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“We're deploying across AWS, Azure and GCP, but each cloud has its own constructs and workflows. A policy that means one thing in AWS means something subtly different in Azure.”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“Nobody can tell us our security posture across all three clouds.”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BEBD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60f"/>
                <w:sz w:val="20"/>
                <w:szCs w:val="20"/>
              </w:rPr>
              <w:t xml:space="preserve">Proctor use — Score (0–100):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E1A2B"/>
                <w:sz w:val="22"/>
                <w:szCs w:val="22"/>
              </w:rPr>
              <w:t xml:space="preserve">__________ / 100</w:t>
            </w:r>
          </w:p>
        </w:tc>
        <w:tc>
          <w:tcPr>
            <w:tcW w:type="dxa" w:w="72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566E"/>
                <w:sz w:val="20"/>
                <w:szCs w:val="20"/>
              </w:rPr>
              <w:t xml:space="preserve">Notes:</w:t>
            </w:r>
          </w:p>
          <w:p/>
          <w:p/>
        </w:tc>
      </w:tr>
    </w:tbl>
    <w:p>
      <w:pPr>
        <w:pBdr>
          <w:bottom w:val="single" w:color="CBD5E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46566E"/>
          <w:sz w:val="16"/>
          <w:szCs w:val="16"/>
        </w:rPr>
        <w:t xml:space="preserve">Cisco Secure · HMF Design Clinic · Cedarline Health Group is fictional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2026-07-25T03:49:30.214Z</dcterms:created>
  <dcterms:modified xsi:type="dcterms:W3CDTF">2026-07-25T03:49:30.214Z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