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aps/>
          <w:color w:val="B03636"/>
          <w:sz w:val="18"/>
          <w:szCs w:val="18"/>
        </w:rPr>
        <w:t xml:space="preserve">HMF DESIGN CLINIC · PROCTOR ONLY</w:t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0D274D"/>
          <w:sz w:val="32"/>
          <w:szCs w:val="32"/>
        </w:rPr>
        <w:t xml:space="preserve">Proctor Guide — reference answers &amp; scoring</w:t>
      </w:r>
    </w:p>
    <w:p>
      <w:pPr>
        <w:spacing w:after="12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This is the answer key. Use it to score each team's four answer sheets. Each use case is scored out of 100; the total is out of 400. Several valid architectures exist — score the reasoning, not an exact product match. Reward answers that are specific to Cedarline; do not reward blank, vague, or category-only answers.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B03636"/>
          <w:sz w:val="26"/>
          <w:szCs w:val="26"/>
        </w:rPr>
        <w:t xml:space="preserve">How to score each use case (0–100)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Products — right / appropriate, named not category: up to 50 (about 25 per concern).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SE reasoning — addresses the concern AND says how it helps, specific to Cedarline: up to 50 (about 25 per concern).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aps/>
          <w:color w:val="036C8F"/>
          <w:sz w:val="20"/>
          <w:szCs w:val="20"/>
        </w:rPr>
        <w:t xml:space="preserve">Bands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90–100 (Expert): correct products for both concerns; reasoning turns on Cedarline's specifics (no decryption, ~10k-rule failure, two engineers, three clouds); often notes what it does NOT cover.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75–89 (Strong): correct products; sound reasoning; some parts generic.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50–74 (Developing): products mostly right but reasoning thin or generic, or one concern clearly weaker.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25–49 (Weak): names a category not a product, or the reasoning just restates the problem.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1–24 (Minimal): off-topic or vague. 0: blank.</w:t>
      </w:r>
    </w:p>
    <w:p>
      <w:pPr>
        <w:pBdr>
          <w:bottom w:val="single" w:color="CBD5E3" w:sz="6" w:space="1"/>
        </w:pBdr>
        <w:spacing w:after="120"/>
      </w:pPr>
    </w:p>
    <w:p>
      <w:r>
        <w:br w:type="page"/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0D274D"/>
          <w:sz w:val="32"/>
          <w:szCs w:val="32"/>
        </w:rPr>
        <w:t xml:space="preserve">Use Case 1: AI Security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46566E"/>
          <w:sz w:val="20"/>
          <w:szCs w:val="20"/>
        </w:rPr>
        <w:t xml:space="preserve">Detection &amp; unknown threats — In March, something landed on a billing workstation and dwelled for four days. Signature-based tools had nothing to match, and most traffic is encrypted.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36C8F"/>
          <w:sz w:val="26"/>
          <w:szCs w:val="26"/>
        </w:rPr>
        <w:t xml:space="preserve">Concern 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F2F5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D274D"/>
                <w:sz w:val="22"/>
                <w:szCs w:val="22"/>
              </w:rPr>
              <w:t xml:space="preserve">“We're worried traditional signature-based detection won't catch new or unknown attacks quickly enough.” Four days of dwell time, and nothing to match.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aps/>
          <w:color w:val="036C8F"/>
          <w:sz w:val="20"/>
          <w:szCs w:val="20"/>
        </w:rPr>
        <w:t xml:space="preserve">Reference answer — expected products</w:t>
      </w:r>
    </w:p>
    <w:p>
      <w:pPr>
        <w:spacing w:after="12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Cisco Secure Firewall (Snort 3) with the Encrypted Visibility Engine; Cisco Secure Network Analytics (Stealthwatch); Cisco XDR; Cisco Hypershield (AI-native); Talos / Secure Malware Analytics.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aps/>
          <w:color w:val="036C8F"/>
          <w:sz w:val="20"/>
          <w:szCs w:val="20"/>
        </w:rPr>
        <w:t xml:space="preserve">Reference answer — SE reasoning that earns full marks</w:t>
      </w:r>
    </w:p>
    <w:p>
      <w:pPr>
        <w:spacing w:after="12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Behavioural / ML / anomaly detection catches unknown and zero-day attacks WITHOUT a signature; Cisco XDR correlates telemetry across the estate to cut a four-day dwell time down to minutes.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36C8F"/>
          <w:sz w:val="26"/>
          <w:szCs w:val="26"/>
        </w:rPr>
        <w:t xml:space="preserve">Concern 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F2F5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D274D"/>
                <w:sz w:val="22"/>
                <w:szCs w:val="22"/>
              </w:rPr>
              <w:t xml:space="preserve">“We mandated TLS everywhere, so most of our traffic is encrypted and we've lost visibility. Broadly decrypting clinical traffic is a compliance non-starter.”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aps/>
          <w:color w:val="036C8F"/>
          <w:sz w:val="20"/>
          <w:szCs w:val="20"/>
        </w:rPr>
        <w:t xml:space="preserve">Reference answer — expected products</w:t>
      </w:r>
    </w:p>
    <w:p>
      <w:pPr>
        <w:spacing w:after="12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Encrypted Visibility Engine (EVE) on Cisco Secure Firewall; Encrypted Traffic Analytics (ETA) via Secure Network Analytics.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aps/>
          <w:color w:val="036C8F"/>
          <w:sz w:val="20"/>
          <w:szCs w:val="20"/>
        </w:rPr>
        <w:t xml:space="preserve">Reference answer — SE reasoning that earns full marks</w:t>
      </w:r>
    </w:p>
    <w:p>
      <w:pPr>
        <w:spacing w:after="12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Both detect threats INSIDE encrypted traffic without decrypting it — so Cedarline keeps visibility while respecting the compliance ban on decrypting clinical traffic and avoiding the performance cost.</w:t>
      </w:r>
    </w:p>
    <w:p>
      <w:r>
        <w:br w:type="page"/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0D274D"/>
          <w:sz w:val="32"/>
          <w:szCs w:val="32"/>
        </w:rPr>
        <w:t xml:space="preserve">Use Case 2: Cloud Edge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46566E"/>
          <w:sz w:val="20"/>
          <w:szCs w:val="20"/>
        </w:rPr>
        <w:t xml:space="preserve">Multicloud posture — Claims analytics runs in AWS, the patient portal in Azure, data science in GCP — three teams, three policy models, three mental models.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36C8F"/>
          <w:sz w:val="26"/>
          <w:szCs w:val="26"/>
        </w:rPr>
        <w:t xml:space="preserve">Concern 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F2F5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D274D"/>
                <w:sz w:val="22"/>
                <w:szCs w:val="22"/>
              </w:rPr>
              <w:t xml:space="preserve">“We're deploying across AWS, Azure and GCP, but each cloud has its own constructs and workflows. A policy that means one thing in AWS means something subtly different in Azure.”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aps/>
          <w:color w:val="036C8F"/>
          <w:sz w:val="20"/>
          <w:szCs w:val="20"/>
        </w:rPr>
        <w:t xml:space="preserve">Reference answer — expected products</w:t>
      </w:r>
    </w:p>
    <w:p>
      <w:pPr>
        <w:spacing w:after="12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Cisco Multicloud Defense; Cisco Defense Orchestrator (CDO); Cisco Secure Firewall (virtual / cloud-native).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aps/>
          <w:color w:val="036C8F"/>
          <w:sz w:val="20"/>
          <w:szCs w:val="20"/>
        </w:rPr>
        <w:t xml:space="preserve">Reference answer — SE reasoning that earns full marks</w:t>
      </w:r>
    </w:p>
    <w:p>
      <w:pPr>
        <w:spacing w:after="12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One policy model is authored once and pushed down to each cloud's native constructs (security groups, NSGs, GCP policy) — so the same intent means the same thing everywhere, and engineers work in one workflow instead of three.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36C8F"/>
          <w:sz w:val="26"/>
          <w:szCs w:val="26"/>
        </w:rPr>
        <w:t xml:space="preserve">Concern 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F2F5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D274D"/>
                <w:sz w:val="22"/>
                <w:szCs w:val="22"/>
              </w:rPr>
              <w:t xml:space="preserve">“Nobody can tell us our security posture across all three clouds.”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aps/>
          <w:color w:val="036C8F"/>
          <w:sz w:val="20"/>
          <w:szCs w:val="20"/>
        </w:rPr>
        <w:t xml:space="preserve">Reference answer — expected products</w:t>
      </w:r>
    </w:p>
    <w:p>
      <w:pPr>
        <w:spacing w:after="12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Cisco Multicloud Defense visibility; Cisco XDR / Security Cloud Control.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aps/>
          <w:color w:val="036C8F"/>
          <w:sz w:val="20"/>
          <w:szCs w:val="20"/>
        </w:rPr>
        <w:t xml:space="preserve">Reference answer — SE reasoning that earns full marks</w:t>
      </w:r>
    </w:p>
    <w:p>
      <w:pPr>
        <w:spacing w:after="12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A single dashboard reports posture across AWS, Azure and GCP together — answering the exact question no one at Cedarline can answer today.</w:t>
      </w:r>
    </w:p>
    <w:p>
      <w:r>
        <w:br w:type="page"/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0D274D"/>
          <w:sz w:val="32"/>
          <w:szCs w:val="32"/>
        </w:rPr>
        <w:t xml:space="preserve">Use Case 3: DC Edge · Perimeter Firewall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46566E"/>
          <w:sz w:val="20"/>
          <w:szCs w:val="20"/>
        </w:rPr>
        <w:t xml:space="preserve">Estate complexity — Mixed-vendor firewalls, three management consoles, a change backlog measured in weeks, and an inherited rulebase from the acquired data centre run by two engineers.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36C8F"/>
          <w:sz w:val="26"/>
          <w:szCs w:val="26"/>
        </w:rPr>
        <w:t xml:space="preserve">Concern 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F2F5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D274D"/>
                <w:sz w:val="22"/>
                <w:szCs w:val="22"/>
              </w:rPr>
              <w:t xml:space="preserve">“Our firewall environment has become too complex to manage manually — mixed vendor, three consoles, a change backlog measured in weeks.”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aps/>
          <w:color w:val="036C8F"/>
          <w:sz w:val="20"/>
          <w:szCs w:val="20"/>
        </w:rPr>
        <w:t xml:space="preserve">Reference answer — expected products</w:t>
      </w:r>
    </w:p>
    <w:p>
      <w:pPr>
        <w:spacing w:after="12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Cisco Defense Orchestrator (CDO) + Secure Firewall Management Center; Cisco Secure Firewall (consolidate the mixed-vendor estate); the Secure Firewall Migration Tool.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aps/>
          <w:color w:val="036C8F"/>
          <w:sz w:val="20"/>
          <w:szCs w:val="20"/>
        </w:rPr>
        <w:t xml:space="preserve">Reference answer — SE reasoning that earns full marks</w:t>
      </w:r>
    </w:p>
    <w:p>
      <w:pPr>
        <w:spacing w:after="12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Collapsing three consoles into one management plane cuts the change backlog and the risk of manual error — the only version of this a two-engineer team can actually sustain.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36C8F"/>
          <w:sz w:val="26"/>
          <w:szCs w:val="26"/>
        </w:rPr>
        <w:t xml:space="preserve">Concern 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F2F5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D274D"/>
                <w:sz w:val="22"/>
                <w:szCs w:val="22"/>
              </w:rPr>
              <w:t xml:space="preserve">“We inherited DC-2's rulebase and nobody can prove what a rule does, so nobody deletes one. Two engineers hold all the knowledge.”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aps/>
          <w:color w:val="036C8F"/>
          <w:sz w:val="20"/>
          <w:szCs w:val="20"/>
        </w:rPr>
        <w:t xml:space="preserve">Reference answer — expected products</w:t>
      </w:r>
    </w:p>
    <w:p>
      <w:pPr>
        <w:spacing w:after="12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CDO rule analysis / hit-count reporting; the Cisco AI Assistant for Security; Firewall Migration Tool rule analysis.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aps/>
          <w:color w:val="036C8F"/>
          <w:sz w:val="20"/>
          <w:szCs w:val="20"/>
        </w:rPr>
        <w:t xml:space="preserve">Reference answer — SE reasoning that earns full marks</w:t>
      </w:r>
    </w:p>
    <w:p>
      <w:pPr>
        <w:spacing w:after="12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Hit counters plus AI rule analysis let them see what each rule actually does and safely retire dead ones — turning tribal knowledge held by two people into something the tool documents.</w:t>
      </w:r>
    </w:p>
    <w:p>
      <w:r>
        <w:br w:type="page"/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0D274D"/>
          <w:sz w:val="32"/>
          <w:szCs w:val="32"/>
        </w:rPr>
        <w:t xml:space="preserve">Use Case 4: Macro &amp; Micro Segmentation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46566E"/>
          <w:sz w:val="20"/>
          <w:szCs w:val="20"/>
        </w:rPr>
        <w:t xml:space="preserve">East-west control — Inside the data centre it's effectively open. Segmentation has been attempted three times and died each time on ten thousand hand-written rules.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36C8F"/>
          <w:sz w:val="26"/>
          <w:szCs w:val="26"/>
        </w:rPr>
        <w:t xml:space="preserve">Concern 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F2F5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D274D"/>
                <w:sz w:val="22"/>
                <w:szCs w:val="22"/>
              </w:rPr>
              <w:t xml:space="preserve">“We don't feel we have enough control over east-west movement inside the data centre — any workload can reach almost any other.”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aps/>
          <w:color w:val="036C8F"/>
          <w:sz w:val="20"/>
          <w:szCs w:val="20"/>
        </w:rPr>
        <w:t xml:space="preserve">Reference answer — expected products</w:t>
      </w:r>
    </w:p>
    <w:p>
      <w:pPr>
        <w:spacing w:after="12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Cisco Secure Workload (Tetration); Cisco Hypershield; Cisco Secure Firewall for macro-segmentation.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aps/>
          <w:color w:val="036C8F"/>
          <w:sz w:val="20"/>
          <w:szCs w:val="20"/>
        </w:rPr>
        <w:t xml:space="preserve">Reference answer — SE reasoning that earns full marks</w:t>
      </w:r>
    </w:p>
    <w:p>
      <w:pPr>
        <w:spacing w:after="12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Secure Workload auto-discovers application dependencies and GENERATES the micro-segmentation policy — so no one hand-writes ten thousand rules — while Hypershield enforces it autonomously in-kernel (eBPF).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36C8F"/>
          <w:sz w:val="26"/>
          <w:szCs w:val="26"/>
        </w:rPr>
        <w:t xml:space="preserve">Concern 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F2F5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D274D"/>
                <w:sz w:val="22"/>
                <w:szCs w:val="22"/>
              </w:rPr>
              <w:t xml:space="preserve">“Once an attacker gets in, they can move laterally across applications. Enforcing segmentation meant writing ~10,000 rules by hand — so it never happened.”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aps/>
          <w:color w:val="036C8F"/>
          <w:sz w:val="20"/>
          <w:szCs w:val="20"/>
        </w:rPr>
        <w:t xml:space="preserve">Reference answer — expected products</w:t>
      </w:r>
    </w:p>
    <w:p>
      <w:pPr>
        <w:spacing w:after="12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Cisco Secure Workload (automated policy generation &amp; lifecycle); Cisco Hypershield (autonomous, self-updating segmentation).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aps/>
          <w:color w:val="036C8F"/>
          <w:sz w:val="20"/>
          <w:szCs w:val="20"/>
        </w:rPr>
        <w:t xml:space="preserve">Reference answer — SE reasoning that earns full marks</w:t>
      </w:r>
    </w:p>
    <w:p>
      <w:pPr>
        <w:spacing w:after="12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Automation replaces the manual rule-writing that killed the project three times, and contains lateral movement by default — directly answering ‘what would slow an attacker down.’</w:t>
      </w:r>
    </w:p>
    <w:p>
      <w:pPr>
        <w:pBdr>
          <w:bottom w:val="single" w:color="CBD5E3" w:sz="6" w:space="1"/>
        </w:pBdr>
        <w:spacing w:after="120"/>
      </w:pPr>
    </w:p>
    <w:p>
      <w:r>
        <w:rPr>
          <w:rFonts w:ascii="Calibri" w:cs="Calibri" w:eastAsia="Calibri" w:hAnsi="Calibri"/>
          <w:i/>
          <w:iCs/>
          <w:color w:val="46566E"/>
          <w:sz w:val="16"/>
          <w:szCs w:val="16"/>
        </w:rPr>
        <w:t xml:space="preserve">Cisco Secure · HMF Design Clinic · Cedarline Health Group is fictional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2026-07-25T03:49:30.273Z</dcterms:created>
  <dcterms:modified xsi:type="dcterms:W3CDTF">2026-07-25T03:49:30.273Z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