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Overall grade, out of 400</w:t>
      </w:r>
    </w:p>
    <w:p>
      <w:pPr>
        <w:spacing w:after="60" w:before="0" w:line="276"/>
      </w:pPr>
      <w:r>
        <w:rPr>
          <w:rFonts w:ascii="Calibri" w:cs="Calibri" w:eastAsia="Calibri" w:hAnsi="Calibri"/>
          <w:color w:val="3A4C63"/>
          <w:sz w:val="20"/>
          <w:szCs w:val="20"/>
        </w:rPr>
        <w:t xml:space="preserve">Give the team their overall result as one of these three encouraging categories. Every category is positive; it names where the team is strong and what to build next.</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400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Best</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300 to 400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Standout work. Across the four case studies the team read the requirements precisely, designed fitting Hybrid Mesh Firewall solutions, and told a clear Cedarline value story.</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Better</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200 to 299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Strong, consistent work. The team matched the right solutions across most pain points and communicated real value, with a few answers to sharpen.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Good</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up to 199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 solid foundation to build on. The team engaged every case study and found real products; the next step is naming the requirement and the outcome more precisely.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its category,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full-marks answer shows the primary Cisco fit, but a team may propose a different Hybrid Mesh Firewall component. Each pain point lists the acceptable alternatives under Solution Designer. Award full marks for any acceptable alternative when the reasoning fits Cedarline, partial when the product is related but the approach is thin, and no credit for a generic or wrong product. Grade sound reasoning over the exact product name.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Grading a sample answer, step by step</w:t>
      </w:r>
    </w:p>
    <w:p>
      <w:pPr>
        <w:spacing w:after="100" w:before="0" w:line="276"/>
      </w:pPr>
      <w:r>
        <w:rPr>
          <w:rFonts w:ascii="Calibri" w:cs="Calibri" w:eastAsia="Calibri" w:hAnsi="Calibri"/>
          <w:color w:val="3A4C63"/>
          <w:sz w:val="21"/>
          <w:szCs w:val="21"/>
        </w:rPr>
        <w:t xml:space="preserve">Before you grade real Workbooks, walk through this example. It shows how to move from a team's written answer to a score on one pain point, the same way you will grade all sixteen.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2"/>
              <w:left w:val="single" w:color="FFFFFF" w:sz="22"/>
              <w:bottom w:val="single" w:color="FFFFFF" w:sz="2"/>
              <w:right w:val="single" w:color="FFFFFF" w:sz="2"/>
            </w:tcBorders>
            <w:shd w:fill="FB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pain point.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6"/>
              <w:bottom w:val="single" w:color="CBD5E3" w:sz="6"/>
              <w:right w:val="single" w:color="CBD5E3" w:sz="6"/>
            </w:tcBorders>
            <w:tcMar>
              <w:top w:type="dxa" w:w="110"/>
              <w:left w:type="dxa" w:w="160"/>
              <w:bottom w:type="dxa" w:w="110"/>
              <w:right w:type="dxa" w:w="160"/>
            </w:tcMar>
            <w:vAlign w:val="top"/>
          </w:tcPr>
          <w:p>
            <w:pPr>
              <w:spacing w:after="50" w:before="0" w:line="276"/>
            </w:pPr>
            <w:r>
              <w:rPr>
                <w:rFonts w:ascii="Calibri" w:cs="Calibri" w:eastAsia="Calibri" w:hAnsi="Calibri"/>
                <w:b/>
                <w:bCs/>
                <w:caps/>
                <w:color w:val="7E8CA1"/>
                <w:sz w:val="15"/>
                <w:szCs w:val="15"/>
              </w:rPr>
              <w:t xml:space="preserve">The team wrote</w:t>
            </w:r>
          </w:p>
          <w:p>
            <w:pPr>
              <w:spacing w:after="30" w:before="0" w:line="276"/>
            </w:pPr>
            <w:r>
              <w:rPr>
                <w:rFonts w:ascii="Calibri" w:cs="Calibri" w:eastAsia="Calibri" w:hAnsi="Calibri"/>
                <w:b/>
                <w:bCs/>
                <w:color w:val="0D274D"/>
                <w:sz w:val="19"/>
                <w:szCs w:val="19"/>
              </w:rPr>
              <w:t xml:space="preserve">Product / platform.  </w:t>
            </w:r>
            <w:r>
              <w:rPr>
                <w:rFonts w:ascii="Calibri" w:cs="Calibri" w:eastAsia="Calibri" w:hAnsi="Calibri"/>
                <w:color w:val="2A3C52"/>
                <w:sz w:val="19"/>
                <w:szCs w:val="19"/>
              </w:rPr>
              <w:t xml:space="preserve">Cisco AI Defense</w:t>
            </w:r>
          </w:p>
          <w:p>
            <w:pPr>
              <w:spacing w:after="0" w:before="0" w:line="276"/>
            </w:pPr>
            <w:r>
              <w:rPr>
                <w:rFonts w:ascii="Calibri" w:cs="Calibri" w:eastAsia="Calibri" w:hAnsi="Calibri"/>
                <w:b/>
                <w:bCs/>
                <w:color w:val="0D274D"/>
                <w:sz w:val="19"/>
                <w:szCs w:val="19"/>
              </w:rPr>
              <w:t xml:space="preserve">Solution Engineer response.  </w:t>
            </w:r>
            <w:r>
              <w:rPr>
                <w:rFonts w:ascii="Calibri" w:cs="Calibri" w:eastAsia="Calibri" w:hAnsi="Calibri"/>
                <w:color w:val="2A3C52"/>
                <w:sz w:val="19"/>
                <w:szCs w:val="19"/>
              </w:rPr>
              <w:t xml:space="preserve">Cisco AI Defense helps with AI security and can validate our models. It will help us stay compliant with regulations and keep our AI safe.</w:t>
            </w:r>
          </w:p>
        </w:tc>
      </w:tr>
    </w:tbl>
    <w:p>
      <w:pPr>
        <w:spacing w:after="50" w:before="150" w:line="276"/>
      </w:pPr>
      <w:r>
        <w:rPr>
          <w:rFonts w:ascii="Calibri" w:cs="Calibri" w:eastAsia="Calibri" w:hAnsi="Calibri"/>
          <w:b/>
          <w:bCs/>
          <w:caps/>
          <w:color w:val="0D274D"/>
          <w:sz w:val="22"/>
          <w:szCs w:val="22"/>
        </w:rPr>
        <w:t xml:space="preserve">Grade it step by step</w:t>
      </w:r>
    </w:p>
    <w:p>
      <w:pPr>
        <w:spacing w:after="80" w:before="0" w:line="276"/>
      </w:pPr>
      <w:r>
        <w:rPr>
          <w:rFonts w:ascii="Calibri" w:cs="Calibri" w:eastAsia="Calibri" w:hAnsi="Calibri"/>
          <w:b/>
          <w:bCs/>
          <w:color w:val="0D274D"/>
          <w:sz w:val="19"/>
          <w:szCs w:val="19"/>
        </w:rPr>
        <w:t xml:space="preserve">Step 1.  </w:t>
      </w:r>
      <w:r>
        <w:rPr>
          <w:rFonts w:ascii="Calibri" w:cs="Calibri" w:eastAsia="Calibri" w:hAnsi="Calibri"/>
          <w:b/>
          <w:bCs/>
          <w:color w:val="0D274D"/>
          <w:sz w:val="19"/>
          <w:szCs w:val="19"/>
        </w:rPr>
        <w:t xml:space="preserve">Grade the Problem Identifier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Partial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3 out of 5</w:t>
      </w:r>
      <w:r>
        <w:rPr>
          <w:rFonts w:ascii="Calibri" w:cs="Calibri" w:eastAsia="Calibri" w:hAnsi="Calibri"/>
          <w:color w:val="33465F"/>
          <w:sz w:val="19"/>
          <w:szCs w:val="19"/>
        </w:rPr>
        <w:t xml:space="preserve">. The team points at compliance but does not name the Article 15 requirement to prove robustness and cybersecurity as a Provider. Right direction, missing the specific requirement, so it lands in the partial range.</w:t>
      </w:r>
    </w:p>
    <w:p>
      <w:pPr>
        <w:spacing w:after="80" w:before="0" w:line="276"/>
      </w:pPr>
      <w:r>
        <w:rPr>
          <w:rFonts w:ascii="Calibri" w:cs="Calibri" w:eastAsia="Calibri" w:hAnsi="Calibri"/>
          <w:b/>
          <w:bCs/>
          <w:color w:val="0D274D"/>
          <w:sz w:val="19"/>
          <w:szCs w:val="19"/>
        </w:rPr>
        <w:t xml:space="preserve">Step 2.  </w:t>
      </w:r>
      <w:r>
        <w:rPr>
          <w:rFonts w:ascii="Calibri" w:cs="Calibri" w:eastAsia="Calibri" w:hAnsi="Calibri"/>
          <w:b/>
          <w:bCs/>
          <w:color w:val="0D274D"/>
          <w:sz w:val="19"/>
          <w:szCs w:val="19"/>
        </w:rPr>
        <w:t xml:space="preserve">Grade the Solution Designer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Cisco AI Defense is the right product, but the team does not name the model and application validation capability or how it is applied. Right product, light on the approach.</w:t>
      </w:r>
    </w:p>
    <w:p>
      <w:pPr>
        <w:spacing w:after="80" w:before="0" w:line="276"/>
      </w:pPr>
      <w:r>
        <w:rPr>
          <w:rFonts w:ascii="Calibri" w:cs="Calibri" w:eastAsia="Calibri" w:hAnsi="Calibri"/>
          <w:b/>
          <w:bCs/>
          <w:color w:val="0D274D"/>
          <w:sz w:val="19"/>
          <w:szCs w:val="19"/>
        </w:rPr>
        <w:t xml:space="preserve">Step 3.  </w:t>
      </w:r>
      <w:r>
        <w:rPr>
          <w:rFonts w:ascii="Calibri" w:cs="Calibri" w:eastAsia="Calibri" w:hAnsi="Calibri"/>
          <w:b/>
          <w:bCs/>
          <w:color w:val="0D274D"/>
          <w:sz w:val="19"/>
          <w:szCs w:val="19"/>
        </w:rPr>
        <w:t xml:space="preserve">Grade the Value Communicator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They mention validating models, which is some of the how, but the outcome stays generic. It does not reach the concrete outcome, automated evidence for Conformity Assessments.</w:t>
      </w:r>
    </w:p>
    <w:p>
      <w:pPr>
        <w:spacing w:after="80" w:before="0" w:line="276"/>
      </w:pPr>
      <w:r>
        <w:rPr>
          <w:rFonts w:ascii="Calibri" w:cs="Calibri" w:eastAsia="Calibri" w:hAnsi="Calibri"/>
          <w:b/>
          <w:bCs/>
          <w:color w:val="0D274D"/>
          <w:sz w:val="19"/>
          <w:szCs w:val="19"/>
        </w:rPr>
        <w:t xml:space="preserve">Step 4.  </w:t>
      </w:r>
      <w:r>
        <w:rPr>
          <w:rFonts w:ascii="Calibri" w:cs="Calibri" w:eastAsia="Calibri" w:hAnsi="Calibri"/>
          <w:b/>
          <w:bCs/>
          <w:color w:val="0D274D"/>
          <w:sz w:val="19"/>
          <w:szCs w:val="19"/>
        </w:rPr>
        <w:t xml:space="preserve">Total the pain point. </w:t>
      </w:r>
      <w:r>
        <w:rPr>
          <w:rFonts w:ascii="Calibri" w:cs="Calibri" w:eastAsia="Calibri" w:hAnsi="Calibri"/>
          <w:color w:val="33465F"/>
          <w:sz w:val="19"/>
          <w:szCs w:val="19"/>
        </w:rPr>
        <w:t xml:space="preserve">3 plus 6 plus 6 = </w:t>
      </w:r>
      <w:r>
        <w:rPr>
          <w:rFonts w:ascii="Calibri" w:cs="Calibri" w:eastAsia="Calibri" w:hAnsi="Calibri"/>
          <w:b/>
          <w:bCs/>
          <w:color w:val="0B6670"/>
          <w:sz w:val="19"/>
          <w:szCs w:val="19"/>
        </w:rPr>
        <w:t xml:space="preserve">15 out of 25</w:t>
      </w:r>
      <w:r>
        <w:rPr>
          <w:rFonts w:ascii="Calibri" w:cs="Calibri" w:eastAsia="Calibri" w:hAnsi="Calibri"/>
          <w:color w:val="33465F"/>
          <w:sz w:val="19"/>
          <w:szCs w:val="19"/>
        </w:rPr>
        <w:t xml:space="preserve">, which is </w:t>
      </w:r>
      <w:r>
        <w:rPr>
          <w:rFonts w:ascii="Calibri" w:cs="Calibri" w:eastAsia="Calibri" w:hAnsi="Calibri"/>
          <w:b/>
          <w:bCs/>
          <w:color w:val="0D274D"/>
          <w:sz w:val="19"/>
          <w:szCs w:val="19"/>
        </w:rPr>
        <w:t xml:space="preserve">Developing</w:t>
      </w:r>
      <w:r>
        <w:rPr>
          <w:rFonts w:ascii="Calibri" w:cs="Calibri" w:eastAsia="Calibri" w:hAnsi="Calibri"/>
          <w:color w:val="33465F"/>
          <w:sz w:val="19"/>
          <w:szCs w:val="19"/>
        </w:rPr>
        <w:t xml:space="preserve"> on the completion band.</w:t>
      </w:r>
    </w:p>
    <w:p>
      <w:pPr>
        <w:spacing w:after="100" w:before="0" w:line="276"/>
      </w:pPr>
      <w:r>
        <w:rPr>
          <w:rFonts w:ascii="Calibri" w:cs="Calibri" w:eastAsia="Calibri" w:hAnsi="Calibri"/>
          <w:b/>
          <w:bCs/>
          <w:color w:val="0D274D"/>
          <w:sz w:val="19"/>
          <w:szCs w:val="19"/>
        </w:rPr>
        <w:t xml:space="preserve">Step 5.  </w:t>
      </w:r>
      <w:r>
        <w:rPr>
          <w:rFonts w:ascii="Calibri" w:cs="Calibri" w:eastAsia="Calibri" w:hAnsi="Calibri"/>
          <w:b/>
          <w:bCs/>
          <w:color w:val="0D274D"/>
          <w:sz w:val="19"/>
          <w:szCs w:val="19"/>
        </w:rPr>
        <w:t xml:space="preserve">Note the feedback. </w:t>
      </w:r>
      <w:r>
        <w:rPr>
          <w:rFonts w:ascii="Calibri" w:cs="Calibri" w:eastAsia="Calibri" w:hAnsi="Calibri"/>
          <w:color w:val="33465F"/>
          <w:sz w:val="19"/>
          <w:szCs w:val="19"/>
        </w:rPr>
        <w:t xml:space="preserve">Strength: the right product and a clear compliance intent. To grow: name the Article 15 requirement, the AI Defense model and application validation capability, and the concrete outcome, automated evidence for Conformity 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Sample output</w:t>
            </w:r>
          </w:p>
          <w:p>
            <w:pPr>
              <w:spacing w:after="0" w:before="0" w:line="276"/>
            </w:pPr>
            <w:r>
              <w:rPr>
                <w:rFonts w:ascii="Calibri" w:cs="Calibri" w:eastAsia="Calibri" w:hAnsi="Calibri"/>
                <w:color w:val="2A3C52"/>
                <w:sz w:val="19"/>
                <w:szCs w:val="19"/>
              </w:rPr>
              <w:t xml:space="preserve">Pain point 1: Problem 3 plus Solution 6 plus Value 6 = 15 out of 25, which is Developing. Grade pain points 2 to 4 the same way, add the four totals for the Case Study 1 score out of 100, and record it on the team's Proctor evaluation page.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Now you are ready.  </w:t>
            </w:r>
            <w:r>
              <w:rPr>
                <w:rFonts w:ascii="Calibri" w:cs="Calibri" w:eastAsia="Calibri" w:hAnsi="Calibri"/>
                <w:color w:val="33465F"/>
                <w:sz w:val="20"/>
                <w:szCs w:val="20"/>
              </w:rPr>
              <w:t xml:space="preserve">Grade each pain point this way against the three levels for every dimension, add the four pain point totals for the case study score out of 100, and record every score on the team's Proctor evaluation page.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(model validation and algorithmic red teaming)</w:t>
            </w:r>
            <w:r>
              <w:rPr>
                <w:rFonts w:ascii="Calibri" w:cs="Calibri" w:eastAsia="Calibri" w:hAnsi="Calibri"/>
                <w:color w:val="5A6E86"/>
                <w:sz w:val="16"/>
                <w:szCs w:val="16"/>
              </w:rPr>
              <w:t xml:space="preserve"> (the same platform named by capability; full marks when it is tied to proving robustness and cybersecurity for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Cisco AI Defense but does not connect it to Article 15 evidence or model validation.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policy or governance process with no Cisco product, or an unrelated next-generation firewall.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applied as a pre-production gate</w:t>
            </w:r>
            <w:r>
              <w:rPr>
                <w:rFonts w:ascii="Calibri" w:cs="Calibri" w:eastAsia="Calibri" w:hAnsi="Calibri"/>
                <w:color w:val="5A6E86"/>
                <w:sz w:val="16"/>
                <w:szCs w:val="16"/>
              </w:rPr>
              <w:t xml:space="preserve"> (AI Defense validation run in the model and agent pipeline; full marks when the vet-before-production reasoning is sound)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pre-production vetting of third-party models and agents.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Endpoint antivirus or code scanning with no AI supply-chain reasoning.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(cloud traffic visibility)</w:t>
            </w:r>
            <w:r>
              <w:rPr>
                <w:rFonts w:ascii="Calibri" w:cs="Calibri" w:eastAsia="Calibri" w:hAnsi="Calibri"/>
                <w:color w:val="5A6E86"/>
                <w:sz w:val="16"/>
                <w:szCs w:val="16"/>
              </w:rPr>
              <w:t xml:space="preserve"> (complements AI Defense to discover AI assets and traffic across clouds; credit when paired or well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discovery of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generic cloud logging or posture tool with no AI-asset discovery.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(runtime enforcement)</w:t>
            </w:r>
            <w:r>
              <w:rPr>
                <w:rFonts w:ascii="Calibri" w:cs="Calibri" w:eastAsia="Calibri" w:hAnsi="Calibri"/>
                <w:color w:val="5A6E86"/>
                <w:sz w:val="16"/>
                <w:szCs w:val="16"/>
              </w:rPr>
              <w:t xml:space="preserve"> (an HMF path to enforce guardrails on workload and AI traffic without changing applications)</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Multicloud Defense (cloud runtime enforcement)</w:t>
            </w:r>
            <w:r>
              <w:rPr>
                <w:rFonts w:ascii="Calibri" w:cs="Calibri" w:eastAsia="Calibri" w:hAnsi="Calibri"/>
                <w:color w:val="5A6E86"/>
                <w:sz w:val="16"/>
                <w:szCs w:val="16"/>
              </w:rPr>
              <w:t xml:space="preserve"> (enforces guardrails on AI traffic in the cloud alongside AI Defense)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or Multicloud Defense but not the runtime guardrail on prompt and response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Blocking AI use outright, or an answer with no runtime inspection or enforcement.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 (micro-segmentation)</w:t>
            </w:r>
            <w:r>
              <w:rPr>
                <w:rFonts w:ascii="Calibri" w:cs="Calibri" w:eastAsia="Calibri" w:hAnsi="Calibri"/>
                <w:color w:val="5A6E86"/>
                <w:sz w:val="16"/>
                <w:szCs w:val="16"/>
              </w:rPr>
              <w:t xml:space="preserve"> (contains east-west movement at the workload; credit alongside or instead of the gateways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segmentation and enforcement across the estate)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segmentation to contain lateral movement.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single perimeter firewall with no multicloud or east-west control.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Security Cloud Control</w:t>
            </w:r>
            <w:r>
              <w:rPr>
                <w:rFonts w:ascii="Calibri" w:cs="Calibri" w:eastAsia="Calibri" w:hAnsi="Calibri"/>
                <w:color w:val="5A6E86"/>
                <w:sz w:val="16"/>
                <w:szCs w:val="16"/>
              </w:rPr>
              <w:t xml:space="preserve"> (central visibility and reporting across the estate to evidence controls to auditors)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audit or evidence angle.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Per-cloud native logs or spreadsheets with no unified, auditable view.</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FMC or Security Cloud Control</w:t>
            </w:r>
            <w:r>
              <w:rPr>
                <w:rFonts w:ascii="Calibri" w:cs="Calibri" w:eastAsia="Calibri" w:hAnsi="Calibri"/>
                <w:color w:val="5A6E86"/>
                <w:sz w:val="16"/>
                <w:szCs w:val="16"/>
              </w:rPr>
              <w:t xml:space="preserve"> (consistent policy across the firewall estate; credit when the one-policy-model reasoning fits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single, consistent policy model across clouds.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Separate per-cloud native firewalls managed independently.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(consistent segmentation policy)</w:t>
            </w:r>
            <w:r>
              <w:rPr>
                <w:rFonts w:ascii="Calibri" w:cs="Calibri" w:eastAsia="Calibri" w:hAnsi="Calibri"/>
                <w:color w:val="5A6E86"/>
                <w:sz w:val="16"/>
                <w:szCs w:val="16"/>
              </w:rPr>
              <w:t xml:space="preserve"> (enforces uniform segmentation across clouds; credit with Secure Workload's dependency mapping)</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consistent enforcement that prevents policy drift)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or a firewall but not the drift-prevention or unified policy.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Point segmentation in one environment only.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integrated with ISE</w:t>
            </w:r>
            <w:r>
              <w:rPr>
                <w:rFonts w:ascii="Calibri" w:cs="Calibri" w:eastAsia="Calibri" w:hAnsi="Calibri"/>
                <w:color w:val="5A6E86"/>
                <w:sz w:val="16"/>
                <w:szCs w:val="16"/>
              </w:rPr>
              <w:t xml:space="preserve"> (firewall-triggered containment through ISE; credit when the automated quarantine path is clear)</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ISE with Adaptive Network Control</w:t>
            </w:r>
            <w:r>
              <w:rPr>
                <w:rFonts w:ascii="Calibri" w:cs="Calibri" w:eastAsia="Calibri" w:hAnsi="Calibri"/>
                <w:color w:val="5A6E86"/>
                <w:sz w:val="16"/>
                <w:szCs w:val="16"/>
              </w:rPr>
              <w:t xml:space="preserve"> (the core real-time auto-quarantine capability)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ISE but not the automated, real-time quarantine through pxGrid or ANC.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manual, ticket-based response, or a firewall rule with no identity or automation.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Management Center (FMC)</w:t>
            </w:r>
            <w:r>
              <w:rPr>
                <w:rFonts w:ascii="Calibri" w:cs="Calibri" w:eastAsia="Calibri" w:hAnsi="Calibri"/>
                <w:color w:val="5A6E86"/>
                <w:sz w:val="16"/>
                <w:szCs w:val="16"/>
              </w:rPr>
              <w:t xml:space="preserve"> (centralised policy administration and rulebase cleanup; credit when the at-scale simplification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 manager but not the rulebase cleanup or consolidation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Editing firewalls device by device with no central management.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selective TLS decryption</w:t>
            </w:r>
            <w:r>
              <w:rPr>
                <w:rFonts w:ascii="Calibri" w:cs="Calibri" w:eastAsia="Calibri" w:hAnsi="Calibri"/>
                <w:color w:val="5A6E86"/>
                <w:sz w:val="16"/>
                <w:szCs w:val="16"/>
              </w:rPr>
              <w:t xml:space="preserve"> (a valid but heavier path; credit when selective decryption is justified, though EVE is preferred for no-decrypt visibility)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but not EVE or a no-decrypt approach to encrypted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Blanket decryption of all traffic, or ignoring encrypted flows entirely.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Talos-backed IPS and malware protection</w:t>
            </w:r>
            <w:r>
              <w:rPr>
                <w:rFonts w:ascii="Calibri" w:cs="Calibri" w:eastAsia="Calibri" w:hAnsi="Calibri"/>
                <w:color w:val="5A6E86"/>
                <w:sz w:val="16"/>
                <w:szCs w:val="16"/>
              </w:rPr>
              <w:t xml:space="preserve"> (complementary advanced detection; credit when the beyond-signature reasoning is present, with Snort ML preferred)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or IPS but not machine-learning or zero-day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Signature-only IPS with no unknown-threat detection.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w:t>
            </w:r>
            <w:r>
              <w:rPr>
                <w:rFonts w:ascii="Calibri" w:cs="Calibri" w:eastAsia="Calibri" w:hAnsi="Calibri"/>
                <w:color w:val="5A6E86"/>
                <w:sz w:val="16"/>
                <w:szCs w:val="16"/>
              </w:rPr>
              <w:t xml:space="preserve"> (process and behaviour visibility with policy for workloads; credit alongside or instead of Tetragon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(in-kernel eBPF runtime detection and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an eBPF or workload tool but not the runtime behaviour detection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Perimeter intrusion prevention only, with no workload runtime visibility.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eBPF enforcement across Kubernetes and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but not the consistent networking and policy across clusters.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Per-cluster bespoke networking with no consistency.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with Cisco Secure Workload</w:t>
            </w:r>
            <w:r>
              <w:rPr>
                <w:rFonts w:ascii="Calibri" w:cs="Calibri" w:eastAsia="Calibri" w:hAnsi="Calibri"/>
                <w:color w:val="5A6E86"/>
                <w:sz w:val="16"/>
                <w:szCs w:val="16"/>
              </w:rPr>
              <w:t xml:space="preserve"> (a consolidation path across enforcement and dependency visibility; credit when the tool-sprawl reduction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or Tetragon alone but not the consolidation of networking, security and observability.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Adding another point tool that increases sprawl.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Isovalent Cilium with Hubble (flow observability)</w:t>
            </w:r>
            <w:r>
              <w:rPr>
                <w:rFonts w:ascii="Calibri" w:cs="Calibri" w:eastAsia="Calibri" w:hAnsi="Calibri"/>
                <w:color w:val="5A6E86"/>
                <w:sz w:val="16"/>
                <w:szCs w:val="16"/>
              </w:rPr>
              <w:t xml:space="preserve"> (maps east-west flows to inform safe segmentation; credit alongside or instead of Secure Workload when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but not the dependency mapping before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Enforcing segmentation with no dependency discovery, which risks breaking applications.</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20" w:line="276"/>
      </w:pPr>
      <w:r>
        <w:rPr>
          <w:rFonts w:ascii="Calibri" w:cs="Calibri" w:eastAsia="Calibri" w:hAnsi="Calibri"/>
          <w:b/>
          <w:bCs/>
          <w:color w:val="0D274D"/>
          <w:sz w:val="30"/>
          <w:szCs w:val="30"/>
        </w:rPr>
        <w:t xml:space="preserve">A completed score sheet</w:t>
      </w:r>
      <w:r>
        <w:rPr>
          <w:rFonts w:ascii="Calibri" w:cs="Calibri" w:eastAsia="Calibri" w:hAnsi="Calibri"/>
          <w:b/>
          <w:bCs/>
          <w:caps/>
          <w:color w:val="155C43"/>
          <w:sz w:val="14"/>
          <w:szCs w:val="14"/>
        </w:rPr>
        <w:t xml:space="preserve">    EXAMPLE</w:t>
      </w:r>
    </w:p>
    <w:p>
      <w:pPr>
        <w:spacing w:after="120" w:before="0" w:line="276"/>
      </w:pPr>
      <w:r>
        <w:rPr>
          <w:rFonts w:ascii="Calibri" w:cs="Calibri" w:eastAsia="Calibri" w:hAnsi="Calibri"/>
          <w:color w:val="3A4C63"/>
          <w:sz w:val="21"/>
          <w:szCs w:val="21"/>
        </w:rPr>
        <w:t xml:space="preserve">This is the Proctor evaluation page from the back of the Workbook, filled in for an example team, so you can see how to record the scores and feedback before you hand the result back.</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b/>
          <w:bCs/>
          <w:color w:val="036C8F"/>
          <w:sz w:val="21"/>
          <w:szCs w:val="21"/>
        </w:rPr>
        <w:t xml:space="preserve">Blue Team       </w:t>
      </w:r>
      <w:r>
        <w:rPr>
          <w:rFonts w:ascii="Calibri" w:cs="Calibri" w:eastAsia="Calibri" w:hAnsi="Calibri"/>
          <w:b/>
          <w:bCs/>
          <w:color w:val="0D274D"/>
          <w:sz w:val="21"/>
          <w:szCs w:val="21"/>
        </w:rPr>
        <w:t xml:space="preserve">Members (up to 8)  </w:t>
      </w:r>
      <w:r>
        <w:rPr>
          <w:rFonts w:ascii="Calibri" w:cs="Calibri" w:eastAsia="Calibri" w:hAnsi="Calibri"/>
          <w:b/>
          <w:bCs/>
          <w:color w:val="036C8F"/>
          <w:sz w:val="21"/>
          <w:szCs w:val="21"/>
        </w:rPr>
        <w:t xml:space="preserve">8 present       </w:t>
      </w:r>
      <w:r>
        <w:rPr>
          <w:rFonts w:ascii="Calibri" w:cs="Calibri" w:eastAsia="Calibri" w:hAnsi="Calibri"/>
          <w:b/>
          <w:bCs/>
          <w:color w:val="0D274D"/>
          <w:sz w:val="21"/>
          <w:szCs w:val="21"/>
        </w:rPr>
        <w:t xml:space="preserve">Date  </w:t>
      </w:r>
      <w:r>
        <w:rPr>
          <w:rFonts w:ascii="Calibri" w:cs="Calibri" w:eastAsia="Calibri" w:hAnsi="Calibri"/>
          <w:b/>
          <w:bCs/>
          <w:color w:val="036C8F"/>
          <w:sz w:val="21"/>
          <w:szCs w:val="21"/>
        </w:rPr>
        <w:t xml:space="preserve">12 May</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66</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Right products throughout and strong on AI Defense. Tighten the Article 15 requirement and state the concrete outcomes.</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78</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Excellent multicloud segmentation and a clear audit story. One pain point was light on the single, unified policy model.</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72</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Good automated containment with ISE. The encrypted-traffic answer needed EVE rather than blanket decryption.</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64</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Solid Kubernetes segmentation. Dependency mapping before enforcement was implied rather than stated.</w:t>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b/>
                <w:bCs/>
                <w:color w:val="0B6670"/>
                <w:sz w:val="20"/>
                <w:szCs w:val="20"/>
              </w:rPr>
              <w:t xml:space="preserve">280</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i/>
                <w:iCs/>
                <w:color w:val="0B4A5E"/>
                <w:sz w:val="18"/>
                <w:szCs w:val="18"/>
              </w:rPr>
              <w:t xml:space="preserve">Overall grade: </w:t>
            </w:r>
            <w:r>
              <w:rPr>
                <w:rFonts w:ascii="Calibri" w:cs="Calibri" w:eastAsia="Calibri" w:hAnsi="Calibri"/>
                <w:b/>
                <w:bCs/>
                <w:color w:val="0B6670"/>
                <w:sz w:val="18"/>
                <w:szCs w:val="18"/>
              </w:rPr>
              <w:t xml:space="preserve">Better</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b/>
                <w:bCs/>
                <w:color w:val="0B6670"/>
                <w:sz w:val="19"/>
                <w:szCs w:val="19"/>
              </w:rPr>
              <w:t xml:space="preserve">[x]</w:t>
            </w:r>
            <w:r>
              <w:rPr>
                <w:rFonts w:ascii="Calibri" w:cs="Calibri" w:eastAsia="Calibri" w:hAnsi="Calibri"/>
                <w:color w:val="33465F"/>
                <w:sz w:val="19"/>
                <w:szCs w:val="19"/>
              </w:rPr>
              <w:t xml:space="preserve">   No </w:t>
            </w:r>
            <w:r>
              <w:rPr>
                <w:rFonts w:ascii="Calibri" w:cs="Calibri" w:eastAsia="Calibri" w:hAnsi="Calibri"/>
                <w:color w:val="9AA8BC"/>
                <w:sz w:val="19"/>
                <w:szCs w:val="19"/>
              </w:rPr>
              <w:t xml:space="preserve">[  ]</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i/>
                <w:iCs/>
                <w:color w:val="0B4A5E"/>
                <w:sz w:val="19"/>
                <w:szCs w:val="19"/>
              </w:rPr>
              <w:t xml:space="preserve">Consistently named the right Cisco products and tied them to Cedarline's estate. Customer-ready value stories in Case Studies 2 and 3.</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i/>
                <w:iCs/>
                <w:color w:val="0B4A5E"/>
                <w:sz w:val="19"/>
                <w:szCs w:val="19"/>
              </w:rPr>
              <w:t xml:space="preserve">Name the underlying requirement before reaching for the product, and always close with the concrete Cedarline outcome.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That is the whole flow.  </w:t>
            </w:r>
            <w:r>
              <w:rPr>
                <w:rFonts w:ascii="Calibri" w:cs="Calibri" w:eastAsia="Calibri" w:hAnsi="Calibri"/>
                <w:color w:val="33465F"/>
                <w:sz w:val="20"/>
                <w:szCs w:val="20"/>
              </w:rPr>
              <w:t xml:space="preserve">Grade every pain point on the rubric, total each case study, then fill in this page inside the team's Workbook exactly like the example above, and hand it back as their result and feedback.</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2026-08-04T01:01:03.936Z</dcterms:created>
  <dcterms:modified xsi:type="dcterms:W3CDTF">2026-08-04T01:01:03.936Z</dcterms:modified>
</cp:coreProperties>
</file>

<file path=docProps/custom.xml><?xml version="1.0" encoding="utf-8"?>
<Properties xmlns="http://schemas.openxmlformats.org/officeDocument/2006/custom-properties" xmlns:vt="http://schemas.openxmlformats.org/officeDocument/2006/docPropsVTypes"/>
</file>