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Solution Guide</w:t>
      </w:r>
    </w:p>
    <w:p>
      <w:pPr>
        <w:spacing w:after="140" w:before="0" w:line="276"/>
      </w:pPr>
      <w:r>
        <w:rPr>
          <w:rFonts w:ascii="Calibri" w:cs="Calibri" w:eastAsia="Calibri" w:hAnsi="Calibri"/>
          <w:color w:val="3A4C63"/>
          <w:sz w:val="24"/>
          <w:szCs w:val="24"/>
        </w:rPr>
        <w:t xml:space="preserve">Reference answers and the three assessment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Your model-answer companion.  </w:t>
            </w:r>
            <w:r>
              <w:rPr>
                <w:rFonts w:ascii="Calibri" w:cs="Calibri" w:eastAsia="Calibri" w:hAnsi="Calibri"/>
                <w:color w:val="33465F"/>
                <w:sz w:val="20"/>
                <w:szCs w:val="20"/>
              </w:rPr>
              <w:t xml:space="preserve">For every pain point you will find the fitting Cisco solution, how a strong Solution Engineer explains it, and the outcome it delivers, mapped to the three dimensions so you can assess answers consistently.</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evaluation approach</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Score each pain point across three dimensions</w:t>
      </w:r>
    </w:p>
    <w:p>
      <w:pPr>
        <w:spacing w:after="100" w:before="0" w:line="276"/>
      </w:pPr>
      <w:r>
        <w:rPr>
          <w:rFonts w:ascii="Calibri" w:cs="Calibri" w:eastAsia="Calibri" w:hAnsi="Calibri"/>
          <w:color w:val="3A4C63"/>
          <w:sz w:val="21"/>
          <w:szCs w:val="21"/>
        </w:rPr>
        <w:t xml:space="preserve">Each pain point is scored across the three dimensions below: Problem Identifier out of 5, Solution Designer out of 10, and Value Communicator out of 10, for 25 per pain point. Four pain points make a case study score out of 100, and the four case studies make an overall score out of 400. The model answers that follow map to these three dimensions. Use the Grading Guide for the full rubric.</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full credit looks like.  </w:t>
            </w:r>
            <w:r>
              <w:rPr>
                <w:rFonts w:ascii="Calibri" w:cs="Calibri" w:eastAsia="Calibri" w:hAnsi="Calibri"/>
                <w:color w:val="33465F"/>
                <w:sz w:val="20"/>
                <w:szCs w:val="20"/>
              </w:rPr>
              <w:t xml:space="preserve">Problem Identifier: names the underlying requirement and constraints, not just the surface ask. Solution Designer: recommends the right Cisco solution and an architecture or approach that fits Cedarline. Value Communicator: explains clearly how it works and states the concrete Cedarline outcome. Reward reasoning specific to Cedarline over generic best practice.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Provider-level evidence of robustness and cybersecurity under EU AI Act Article 15.</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Model and Application Validation)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Vetting AI models and third-party agents for vulnerabilities before they reach production.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(Supply Chain Risk Management)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enables "Shift-Left" security by creating an inventory of all AI models and agents. By identifying vulnerabilities before production, it prevents the introduction of malicious code or poisoned data into your ecosystem.</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Visibility and consistent control over AI assets (models, agents, datasets and MCP tools) across the 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Cloud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Identifies rogue or unsanctioned AI assets. Maps relationships across data, models, agents, and tools.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Seeing AI assets and third-party model usage, and enforcing runtime guardrails on AI traffic without changing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with Cisco Multicloud Defense (AI Runtime Protection)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Finds AI assets in cloud accounts. Identifies third-party AI model usage.</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Containing lateral movement between public cloud and on-prem in a multicloud environment.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(macro and micro-segmentation gateways)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auditable proof that security controls are applied across all cloud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logging and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collection of evidence for security audits. By consolidating logs and policy enforcement data, you create a "single source of truth" that simplifies compliance reporting and demonstrates proactive governance to regulators.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One consistent policy model across AWS, Azure and on-prem, without per-cloud overhead.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policy across public clouds)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Unified segmentation that prevents policy drift across hybrid and multicloud.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with Cisco Secure Firewall (managed via FMC and Security Cloud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policy drift across hybrid and multicloud environments. Aligns policy to application behavior, not just static IP-based rules.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Automated, real-time isolation of a compromised device, faster than a manual response.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ISE (Security Group Tags via pxGrid and Adaptive Network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"Response" phase of the incident lifecycle. By bridging the gap between detection and enforcement, it stops threats at the speed of the network.</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Simplifying and cleaning up firewall policy administration at scale.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Security Cloud Control with FMC and Cisco Secure Firewall (unified policy administration)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manual policy review; identifies redundant/stale rules; lowers risk from human error.</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Restoring visibility into encrypted traffic without decrypting everything.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the Encrypted Visibility Engine (EVE)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Restores visibility into encrypted blind spots; avoids the performance/privacy overhead of decrypt-everything strategies.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Detecting unknown and zero-day threats beyond signature-based detection.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Snort ML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Addresses the gap between known and unknown threat detection; reduces dependence on signature timing.</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Runtime detection of suspicious behaviour and policy violations inside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Tetragon (eBPF runtime security)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where Tetragon comes in. Tetragon extends the value of Cilium by providing eBPF-based runtime security and threat detection.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Adds runtime visibility beyond basic network controls. Detects suspicious system and network behavior in real time.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Kubernetes networking and policy across clusters, with less operational complexity.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(eBPF Kubernetes networking and policy)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Replaces brittle, IP-centric networking models with a Kubernetes-native approach. Improves consistency across dynamic cluster environments.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Consolidating Kubernetes networking, security and observability to reduce tool sprawl.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with Tetragon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Consolidates multiple functions into one platform approach. Reduces tool sprawl and operational friction.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Mapping east-west flows and application dependencies to segment safely without breaking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(application dependency mapping)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Reveals actual application communication paths. Reduces the risk of segmentation causing outages.</w:t>
            </w:r>
          </w:p>
        </w:tc>
      </w:tr>
    </w:tbl>
    <w:p>
      <w:pPr>
        <w:spacing w:after="160"/>
      </w:pPr>
      <w:r>
        <w:rPr>
          <w:rFonts w:ascii="Calibri" w:cs="Calibri" w:eastAsia="Calibri" w:hAnsi="Calibri"/>
          <w:color w:val="14263A"/>
          <w:sz w:val="2"/>
          <w:szCs w:val="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2026-08-04T01:01:03.877Z</dcterms:created>
  <dcterms:modified xsi:type="dcterms:W3CDTF">2026-08-04T01:01:03.877Z</dcterms:modified>
</cp:coreProperties>
</file>

<file path=docProps/custom.xml><?xml version="1.0" encoding="utf-8"?>
<Properties xmlns="http://schemas.openxmlformats.org/officeDocument/2006/custom-properties" xmlns:vt="http://schemas.openxmlformats.org/officeDocument/2006/docPropsVTypes"/>
</file>