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by case study, assess by dimension</w:t>
      </w:r>
    </w:p>
    <w:p>
      <w:pPr>
        <w:spacing w:after="100" w:before="0" w:line="276"/>
      </w:pPr>
      <w:r>
        <w:rPr>
          <w:rFonts w:ascii="Calibri" w:cs="Calibri" w:eastAsia="Calibri" w:hAnsi="Calibri"/>
          <w:color w:val="3A4C63"/>
          <w:sz w:val="21"/>
          <w:szCs w:val="21"/>
        </w:rPr>
        <w:t xml:space="preserve">Each case study is scored across its four pain points, giving a case study score out of 100 and an overall score out of 400. Alongside the score, assess each team on the three dimensions below and record qualitative feedback.</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2026-08-03T20:43:05.674Z</dcterms:created>
  <dcterms:modified xsi:type="dcterms:W3CDTF">2026-08-03T20:43:05.674Z</dcterms:modified>
</cp:coreProperties>
</file>

<file path=docProps/custom.xml><?xml version="1.0" encoding="utf-8"?>
<Properties xmlns="http://schemas.openxmlformats.org/officeDocument/2006/custom-properties" xmlns:vt="http://schemas.openxmlformats.org/officeDocument/2006/docPropsVTypes"/>
</file>