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HMF Design Clinic · Facilitator</w:t>
      </w:r>
    </w:p>
    <w:p>
      <w:pPr>
        <w:spacing w:after="60" w:before="0" w:line="276"/>
      </w:pPr>
      <w:r>
        <w:rPr>
          <w:rFonts w:ascii="Calibri" w:cs="Calibri" w:eastAsia="Calibri" w:hAnsi="Calibri"/>
          <w:b/>
          <w:bCs/>
          <w:color w:val="0D274D"/>
          <w:sz w:val="42"/>
          <w:szCs w:val="42"/>
        </w:rPr>
        <w:t xml:space="preserve">Grading Guide</w:t>
      </w:r>
    </w:p>
    <w:p>
      <w:pPr>
        <w:spacing w:after="140" w:before="0" w:line="276"/>
      </w:pPr>
      <w:r>
        <w:rPr>
          <w:rFonts w:ascii="Calibri" w:cs="Calibri" w:eastAsia="Calibri" w:hAnsi="Calibri"/>
          <w:color w:val="3A4C63"/>
          <w:sz w:val="24"/>
          <w:szCs w:val="24"/>
        </w:rPr>
        <w:t xml:space="preserve">A case study score, an overall score, and qualitative feedback on three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Score each case study across its four pain points, out of 100, for an overall total of 400. Alongside the score, assess each team on three dimensions and record qualitative feedback. Use the Solution Guide for the model answers.</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score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three dimensions</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For each case study, read the team's four answers, assess them on the three dimensions using the scale below, and assign a case study score out of 100. Add the four case study scores for an overall score out of 400. Grade against the Solution Guide and reward reasoning specific to Cedarline.</w:t>
            </w:r>
          </w:p>
        </w:tc>
      </w:tr>
    </w:tbl>
    <w:p>
      <w:pPr>
        <w:spacing w:after="60" w:before="160" w:line="276"/>
      </w:pPr>
      <w:r>
        <w:rPr>
          <w:rFonts w:ascii="Calibri" w:cs="Calibri" w:eastAsia="Calibri" w:hAnsi="Calibri"/>
          <w:b/>
          <w:bCs/>
          <w:color w:val="0D274D"/>
          <w:sz w:val="24"/>
          <w:szCs w:val="24"/>
        </w:rPr>
        <w:t xml:space="preserve">The assessment scale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900"/>
        <w:gridCol w:w="7460"/>
      </w:tblGrid>
      <w:tr>
        <w:tc>
          <w:tcPr>
            <w:tcW w:type="dxa" w:w="1900"/>
            <w:tcBorders>
              <w:top w:val="none" w:color="FFFFFF" w:sz="0"/>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Strong</w:t>
            </w:r>
          </w:p>
        </w:tc>
        <w:tc>
          <w:tcPr>
            <w:tcW w:type="dxa" w:w="74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Consistently meets the dimension across the case study, specific to Cedarline.</w:t>
            </w:r>
          </w:p>
        </w:tc>
      </w:tr>
      <w:tr>
        <w:tc>
          <w:tcPr>
            <w:tcW w:type="dxa" w:w="1900"/>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Developing</w:t>
            </w:r>
          </w:p>
        </w:tc>
        <w:tc>
          <w:tcPr>
            <w:tcW w:type="dxa" w:w="74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Solid, but with gaps or generic reasoning in places.</w:t>
            </w:r>
          </w:p>
        </w:tc>
      </w:tr>
      <w:tr>
        <w:tc>
          <w:tcPr>
            <w:tcW w:type="dxa" w:w="1900"/>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Emerging</w:t>
            </w:r>
          </w:p>
        </w:tc>
        <w:tc>
          <w:tcPr>
            <w:tcW w:type="dxa" w:w="74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Early. The idea is there but thin, partial, or unclear.</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80"/>
      </w:pPr>
      <w:r>
        <w:rPr>
          <w:rFonts w:ascii="Calibri" w:cs="Calibri" w:eastAsia="Calibri" w:hAnsi="Calibri"/>
          <w:color w:val="14263A"/>
          <w:sz w:val="2"/>
          <w:szCs w:val="2"/>
        </w:rPr>
        <w:t xml:space="preserve"/>
      </w:r>
    </w:p>
    <w:p>
      <w:pPr>
        <w:spacing w:after="50" w:before="0" w:line="276"/>
      </w:pPr>
      <w:r>
        <w:rPr>
          <w:rFonts w:ascii="Calibri" w:cs="Calibri" w:eastAsia="Calibri" w:hAnsi="Calibri"/>
          <w:b/>
          <w:bCs/>
          <w:caps/>
          <w:color w:val="7E8CA1"/>
          <w:sz w:val="15"/>
          <w:szCs w:val="15"/>
        </w:rPr>
        <w:t xml:space="preserve">The four pain points assessed</w:t>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1. </w:t>
            </w:r>
            <w:r>
              <w:rPr>
                <w:rFonts w:ascii="Calibri" w:cs="Calibri" w:eastAsia="Calibri" w:hAnsi="Calibri"/>
                <w:color w:val="46566E"/>
                <w:sz w:val="17"/>
                <w:szCs w:val="17"/>
              </w:rPr>
              <w:t xml:space="preserve">Under the EU AI Act, we are classified as a 'Provider' for our internal AI systems. We need to demonstrate…</w:t>
            </w:r>
          </w:p>
        </w:tc>
      </w:tr>
      <w:tr>
        <w:tc>
          <w:tcPr>
            <w:tcW w:type="dxa" w:w="9360"/>
            <w:tcBorders>
              <w:top w:val="single" w:color="EEF2F7" w:sz="4"/>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2. </w:t>
            </w:r>
            <w:r>
              <w:rPr>
                <w:rFonts w:ascii="Calibri" w:cs="Calibri" w:eastAsia="Calibri" w:hAnsi="Calibri"/>
                <w:color w:val="46566E"/>
                <w:sz w:val="17"/>
                <w:szCs w:val="17"/>
              </w:rPr>
              <w:t xml:space="preserve">We are integrating various open-source models and third-party agents into our internal workflows. How can…</w:t>
            </w:r>
          </w:p>
        </w:tc>
      </w:tr>
      <w:tr>
        <w:tc>
          <w:tcPr>
            <w:tcW w:type="dxa" w:w="9360"/>
            <w:tcBorders>
              <w:top w:val="single" w:color="EEF2F7" w:sz="4"/>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3. </w:t>
            </w:r>
            <w:r>
              <w:rPr>
                <w:rFonts w:ascii="Calibri" w:cs="Calibri" w:eastAsia="Calibri" w:hAnsi="Calibri"/>
                <w:color w:val="46566E"/>
                <w:sz w:val="17"/>
                <w:szCs w:val="17"/>
              </w:rPr>
              <w:t xml:space="preserve">We know AI is showing up across our cloud environments faster than security can track it. We're worried we…</w:t>
            </w:r>
          </w:p>
        </w:tc>
      </w:tr>
      <w:tr>
        <w:tc>
          <w:tcPr>
            <w:tcW w:type="dxa" w:w="9360"/>
            <w:tcBorders>
              <w:top w:val="single" w:color="EEF2F7" w:sz="4"/>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4. </w:t>
            </w:r>
            <w:r>
              <w:rPr>
                <w:rFonts w:ascii="Calibri" w:cs="Calibri" w:eastAsia="Calibri" w:hAnsi="Calibri"/>
                <w:color w:val="46566E"/>
                <w:sz w:val="17"/>
                <w:szCs w:val="17"/>
              </w:rPr>
              <w:t xml:space="preserve">We're running AI workloads in cloud accounts, but we don't have a reliable way to see which models and AI…</w:t>
            </w:r>
          </w:p>
        </w:tc>
      </w:tr>
    </w:tbl>
    <w:p>
      <w:pPr>
        <w:spacing w:after="12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1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80"/>
      </w:pPr>
      <w:r>
        <w:rPr>
          <w:rFonts w:ascii="Calibri" w:cs="Calibri" w:eastAsia="Calibri" w:hAnsi="Calibri"/>
          <w:color w:val="14263A"/>
          <w:sz w:val="2"/>
          <w:szCs w:val="2"/>
        </w:rPr>
        <w:t xml:space="preserve"/>
      </w:r>
    </w:p>
    <w:p>
      <w:pPr>
        <w:spacing w:after="50" w:before="0" w:line="276"/>
      </w:pPr>
      <w:r>
        <w:rPr>
          <w:rFonts w:ascii="Calibri" w:cs="Calibri" w:eastAsia="Calibri" w:hAnsi="Calibri"/>
          <w:b/>
          <w:bCs/>
          <w:caps/>
          <w:color w:val="7E8CA1"/>
          <w:sz w:val="15"/>
          <w:szCs w:val="15"/>
        </w:rPr>
        <w:t xml:space="preserve">The four pain points assessed</w:t>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1. </w:t>
            </w:r>
            <w:r>
              <w:rPr>
                <w:rFonts w:ascii="Calibri" w:cs="Calibri" w:eastAsia="Calibri" w:hAnsi="Calibri"/>
                <w:color w:val="46566E"/>
                <w:sz w:val="17"/>
                <w:szCs w:val="17"/>
              </w:rPr>
              <w:t xml:space="preserve">If a breach occurs in one of our public cloud instances, we are terrified that the attacker will move…</w:t>
            </w:r>
          </w:p>
        </w:tc>
      </w:tr>
      <w:tr>
        <w:tc>
          <w:tcPr>
            <w:tcW w:type="dxa" w:w="9360"/>
            <w:tcBorders>
              <w:top w:val="single" w:color="EEF2F7" w:sz="4"/>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2. </w:t>
            </w:r>
            <w:r>
              <w:rPr>
                <w:rFonts w:ascii="Calibri" w:cs="Calibri" w:eastAsia="Calibri" w:hAnsi="Calibri"/>
                <w:color w:val="46566E"/>
                <w:sz w:val="17"/>
                <w:szCs w:val="17"/>
              </w:rPr>
              <w:t xml:space="preserve">Our auditors require proof that our security controls are applied consistently across all our cloud…</w:t>
            </w:r>
          </w:p>
        </w:tc>
      </w:tr>
      <w:tr>
        <w:tc>
          <w:tcPr>
            <w:tcW w:type="dxa" w:w="9360"/>
            <w:tcBorders>
              <w:top w:val="single" w:color="EEF2F7" w:sz="4"/>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3. </w:t>
            </w:r>
            <w:r>
              <w:rPr>
                <w:rFonts w:ascii="Calibri" w:cs="Calibri" w:eastAsia="Calibri" w:hAnsi="Calibri"/>
                <w:color w:val="46566E"/>
                <w:sz w:val="17"/>
                <w:szCs w:val="17"/>
              </w:rPr>
              <w:t xml:space="preserve">We have workloads spread across AWS, Azure, and on-premises data centers. Managing security policies…</w:t>
            </w:r>
          </w:p>
        </w:tc>
      </w:tr>
      <w:tr>
        <w:tc>
          <w:tcPr>
            <w:tcW w:type="dxa" w:w="9360"/>
            <w:tcBorders>
              <w:top w:val="single" w:color="EEF2F7" w:sz="4"/>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4. </w:t>
            </w:r>
            <w:r>
              <w:rPr>
                <w:rFonts w:ascii="Calibri" w:cs="Calibri" w:eastAsia="Calibri" w:hAnsi="Calibri"/>
                <w:color w:val="46566E"/>
                <w:sz w:val="17"/>
                <w:szCs w:val="17"/>
              </w:rPr>
              <w:t xml:space="preserve">We have workloads on-prem, in cloud, and in mixed environments, and policy consistency is becoming…</w:t>
            </w:r>
          </w:p>
        </w:tc>
      </w:tr>
    </w:tbl>
    <w:p>
      <w:pPr>
        <w:spacing w:after="12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2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80"/>
      </w:pPr>
      <w:r>
        <w:rPr>
          <w:rFonts w:ascii="Calibri" w:cs="Calibri" w:eastAsia="Calibri" w:hAnsi="Calibri"/>
          <w:color w:val="14263A"/>
          <w:sz w:val="2"/>
          <w:szCs w:val="2"/>
        </w:rPr>
        <w:t xml:space="preserve"/>
      </w:r>
    </w:p>
    <w:p>
      <w:pPr>
        <w:spacing w:after="50" w:before="0" w:line="276"/>
      </w:pPr>
      <w:r>
        <w:rPr>
          <w:rFonts w:ascii="Calibri" w:cs="Calibri" w:eastAsia="Calibri" w:hAnsi="Calibri"/>
          <w:b/>
          <w:bCs/>
          <w:caps/>
          <w:color w:val="7E8CA1"/>
          <w:sz w:val="15"/>
          <w:szCs w:val="15"/>
        </w:rPr>
        <w:t xml:space="preserve">The four pain points assessed</w:t>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1. </w:t>
            </w:r>
            <w:r>
              <w:rPr>
                <w:rFonts w:ascii="Calibri" w:cs="Calibri" w:eastAsia="Calibri" w:hAnsi="Calibri"/>
                <w:color w:val="46566E"/>
                <w:sz w:val="17"/>
                <w:szCs w:val="17"/>
              </w:rPr>
              <w:t xml:space="preserve">When our security tools detect a compromised device, our manual response time is too slow. By the time we…</w:t>
            </w:r>
          </w:p>
        </w:tc>
      </w:tr>
      <w:tr>
        <w:tc>
          <w:tcPr>
            <w:tcW w:type="dxa" w:w="9360"/>
            <w:tcBorders>
              <w:top w:val="single" w:color="EEF2F7" w:sz="4"/>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2. </w:t>
            </w:r>
            <w:r>
              <w:rPr>
                <w:rFonts w:ascii="Calibri" w:cs="Calibri" w:eastAsia="Calibri" w:hAnsi="Calibri"/>
                <w:color w:val="46566E"/>
                <w:sz w:val="17"/>
                <w:szCs w:val="17"/>
              </w:rPr>
              <w:t xml:space="preserve">Our firewall environment has become too complex to manage manually.</w:t>
            </w:r>
          </w:p>
        </w:tc>
      </w:tr>
      <w:tr>
        <w:tc>
          <w:tcPr>
            <w:tcW w:type="dxa" w:w="9360"/>
            <w:tcBorders>
              <w:top w:val="single" w:color="EEF2F7" w:sz="4"/>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3. </w:t>
            </w:r>
            <w:r>
              <w:rPr>
                <w:rFonts w:ascii="Calibri" w:cs="Calibri" w:eastAsia="Calibri" w:hAnsi="Calibri"/>
                <w:color w:val="46566E"/>
                <w:sz w:val="17"/>
                <w:szCs w:val="17"/>
              </w:rPr>
              <w:t xml:space="preserve">Most of our traffic is encrypted, so we've lost visibility into a huge part of our environment.</w:t>
            </w:r>
          </w:p>
        </w:tc>
      </w:tr>
      <w:tr>
        <w:tc>
          <w:tcPr>
            <w:tcW w:type="dxa" w:w="9360"/>
            <w:tcBorders>
              <w:top w:val="single" w:color="EEF2F7" w:sz="4"/>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4. </w:t>
            </w:r>
            <w:r>
              <w:rPr>
                <w:rFonts w:ascii="Calibri" w:cs="Calibri" w:eastAsia="Calibri" w:hAnsi="Calibri"/>
                <w:color w:val="46566E"/>
                <w:sz w:val="17"/>
                <w:szCs w:val="17"/>
              </w:rPr>
              <w:t xml:space="preserve">We're worried traditional signature-based detection won't catch new or unknown attacks quickly enough.</w:t>
            </w:r>
          </w:p>
        </w:tc>
      </w:tr>
    </w:tbl>
    <w:p>
      <w:pPr>
        <w:spacing w:after="12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3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80"/>
      </w:pPr>
      <w:r>
        <w:rPr>
          <w:rFonts w:ascii="Calibri" w:cs="Calibri" w:eastAsia="Calibri" w:hAnsi="Calibri"/>
          <w:color w:val="14263A"/>
          <w:sz w:val="2"/>
          <w:szCs w:val="2"/>
        </w:rPr>
        <w:t xml:space="preserve"/>
      </w:r>
    </w:p>
    <w:p>
      <w:pPr>
        <w:spacing w:after="50" w:before="0" w:line="276"/>
      </w:pPr>
      <w:r>
        <w:rPr>
          <w:rFonts w:ascii="Calibri" w:cs="Calibri" w:eastAsia="Calibri" w:hAnsi="Calibri"/>
          <w:b/>
          <w:bCs/>
          <w:caps/>
          <w:color w:val="7E8CA1"/>
          <w:sz w:val="15"/>
          <w:szCs w:val="15"/>
        </w:rPr>
        <w:t xml:space="preserve">The four pain points assessed</w:t>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1. </w:t>
            </w:r>
            <w:r>
              <w:rPr>
                <w:rFonts w:ascii="Calibri" w:cs="Calibri" w:eastAsia="Calibri" w:hAnsi="Calibri"/>
                <w:color w:val="46566E"/>
                <w:sz w:val="17"/>
                <w:szCs w:val="17"/>
              </w:rPr>
              <w:t xml:space="preserve">Network policy helps, but we also need to know what's happening at runtime inside the workload. We need…</w:t>
            </w:r>
          </w:p>
        </w:tc>
      </w:tr>
      <w:tr>
        <w:tc>
          <w:tcPr>
            <w:tcW w:type="dxa" w:w="9360"/>
            <w:tcBorders>
              <w:top w:val="single" w:color="EEF2F7" w:sz="4"/>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2. </w:t>
            </w:r>
            <w:r>
              <w:rPr>
                <w:rFonts w:ascii="Calibri" w:cs="Calibri" w:eastAsia="Calibri" w:hAnsi="Calibri"/>
                <w:color w:val="46566E"/>
                <w:sz w:val="17"/>
                <w:szCs w:val="17"/>
              </w:rPr>
              <w:t xml:space="preserve">Our Kubernetes networking feels fragmented across clusters and environments. We're dealing with too many…</w:t>
            </w:r>
          </w:p>
        </w:tc>
      </w:tr>
      <w:tr>
        <w:tc>
          <w:tcPr>
            <w:tcW w:type="dxa" w:w="9360"/>
            <w:tcBorders>
              <w:top w:val="single" w:color="EEF2F7" w:sz="4"/>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3. </w:t>
            </w:r>
            <w:r>
              <w:rPr>
                <w:rFonts w:ascii="Calibri" w:cs="Calibri" w:eastAsia="Calibri" w:hAnsi="Calibri"/>
                <w:color w:val="46566E"/>
                <w:sz w:val="17"/>
                <w:szCs w:val="17"/>
              </w:rPr>
              <w:t xml:space="preserve">Right now we're stitching together separate tools for networking, security, and observability in…</w:t>
            </w:r>
          </w:p>
        </w:tc>
      </w:tr>
      <w:tr>
        <w:tc>
          <w:tcPr>
            <w:tcW w:type="dxa" w:w="9360"/>
            <w:tcBorders>
              <w:top w:val="single" w:color="EEF2F7" w:sz="4"/>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4. </w:t>
            </w:r>
            <w:r>
              <w:rPr>
                <w:rFonts w:ascii="Calibri" w:cs="Calibri" w:eastAsia="Calibri" w:hAnsi="Calibri"/>
                <w:color w:val="46566E"/>
                <w:sz w:val="17"/>
                <w:szCs w:val="17"/>
              </w:rPr>
              <w:t xml:space="preserve">We know we need microsegmentation, but we don't have enough visibility into east-west flows or application…</w:t>
            </w:r>
          </w:p>
        </w:tc>
      </w:tr>
    </w:tbl>
    <w:p>
      <w:pPr>
        <w:spacing w:after="12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4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Score summary</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Team total</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Event </w:t>
      </w:r>
      <w:r>
        <w:rPr>
          <w:rFonts w:ascii="Calibri" w:cs="Calibri" w:eastAsia="Calibri" w:hAnsi="Calibri"/>
          <w:color w:val="8091A4"/>
          <w:sz w:val="21"/>
          <w:szCs w:val="21"/>
        </w:rPr>
        <w:t xml:space="preserve">__________</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760"/>
        <w:gridCol w:w="2600"/>
      </w:tblGrid>
      <w:tr>
        <w:trPr>
          <w:tblHeader/>
        </w:trPr>
        <w:tc>
          <w:tcPr>
            <w:tcW w:type="dxa" w:w="6760"/>
            <w:tcBorders>
              <w:top w:val="none" w:color="FFFFFF" w:sz="0"/>
              <w:left w:val="none" w:color="FFFFFF" w:sz="0"/>
              <w:bottom w:val="none" w:color="FFFFFF" w:sz="0"/>
              <w:right w:val="none" w:color="FFFFFF" w:sz="0"/>
            </w:tcBorders>
            <w:shd w:fill="0D274D" w:color="auto" w:val="clear"/>
            <w:tcMar>
              <w:top w:type="dxa" w:w="80"/>
              <w:left w:type="dxa" w:w="150"/>
              <w:bottom w:type="dxa" w:w="80"/>
              <w:right w:type="dxa" w:w="150"/>
            </w:tcMar>
          </w:tcPr>
          <w:p>
            <w:pPr>
              <w:spacing w:after="0" w:before="0" w:line="276"/>
              <w:jc w:val="left"/>
            </w:pPr>
            <w:r>
              <w:rPr>
                <w:rFonts w:ascii="Calibri" w:cs="Calibri" w:eastAsia="Calibri" w:hAnsi="Calibri"/>
                <w:b/>
                <w:bCs/>
                <w:caps/>
                <w:color w:val="FFFFFF"/>
                <w:sz w:val="15"/>
                <w:szCs w:val="15"/>
              </w:rPr>
              <w:t xml:space="preserve">Case Study</w:t>
            </w:r>
          </w:p>
        </w:tc>
        <w:tc>
          <w:tcPr>
            <w:tcW w:type="dxa" w:w="2600"/>
            <w:tcBorders>
              <w:top w:val="none" w:color="FFFFFF" w:sz="0"/>
              <w:left w:val="none" w:color="FFFFFF" w:sz="0"/>
              <w:bottom w:val="none" w:color="FFFFFF" w:sz="0"/>
              <w:right w:val="none" w:color="FFFFFF" w:sz="0"/>
            </w:tcBorders>
            <w:shd w:fill="0D274D" w:color="auto" w:val="clear"/>
            <w:tcMar>
              <w:top w:type="dxa" w:w="80"/>
              <w:left w:type="dxa" w:w="150"/>
              <w:bottom w:type="dxa" w:w="80"/>
              <w:right w:type="dxa" w:w="150"/>
            </w:tcMar>
          </w:tcPr>
          <w:p>
            <w:pPr>
              <w:spacing w:after="0" w:before="0" w:line="276"/>
              <w:jc w:val="center"/>
            </w:pPr>
            <w:r>
              <w:rPr>
                <w:rFonts w:ascii="Calibri" w:cs="Calibri" w:eastAsia="Calibri" w:hAnsi="Calibri"/>
                <w:b/>
                <w:bCs/>
                <w:caps/>
                <w:color w:val="FFFFFF"/>
                <w:sz w:val="15"/>
                <w:szCs w:val="15"/>
              </w:rPr>
              <w:t xml:space="preserve">Score / 100</w:t>
            </w:r>
          </w:p>
        </w:tc>
      </w:tr>
      <w:tr>
        <w:tc>
          <w:tcPr>
            <w:tcW w:type="dxa" w:w="676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pPr>
            <w:r>
              <w:rPr>
                <w:rFonts w:ascii="Calibri" w:cs="Calibri" w:eastAsia="Calibri" w:hAnsi="Calibri"/>
                <w:color w:val="2A3C52"/>
                <w:sz w:val="20"/>
                <w:szCs w:val="20"/>
              </w:rPr>
              <w:t xml:space="preserve">Case Study 1</w:t>
            </w:r>
          </w:p>
        </w:tc>
        <w:tc>
          <w:tcPr>
            <w:tcW w:type="dxa" w:w="260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p>
        </w:tc>
      </w:tr>
      <w:tr>
        <w:tc>
          <w:tcPr>
            <w:tcW w:type="dxa" w:w="676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pPr>
            <w:r>
              <w:rPr>
                <w:rFonts w:ascii="Calibri" w:cs="Calibri" w:eastAsia="Calibri" w:hAnsi="Calibri"/>
                <w:color w:val="2A3C52"/>
                <w:sz w:val="20"/>
                <w:szCs w:val="20"/>
              </w:rPr>
              <w:t xml:space="preserve">Case Study 2</w:t>
            </w:r>
          </w:p>
        </w:tc>
        <w:tc>
          <w:tcPr>
            <w:tcW w:type="dxa" w:w="260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p>
        </w:tc>
      </w:tr>
      <w:tr>
        <w:tc>
          <w:tcPr>
            <w:tcW w:type="dxa" w:w="676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pPr>
            <w:r>
              <w:rPr>
                <w:rFonts w:ascii="Calibri" w:cs="Calibri" w:eastAsia="Calibri" w:hAnsi="Calibri"/>
                <w:color w:val="2A3C52"/>
                <w:sz w:val="20"/>
                <w:szCs w:val="20"/>
              </w:rPr>
              <w:t xml:space="preserve">Case Study 3</w:t>
            </w:r>
          </w:p>
        </w:tc>
        <w:tc>
          <w:tcPr>
            <w:tcW w:type="dxa" w:w="260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p>
        </w:tc>
      </w:tr>
      <w:tr>
        <w:tc>
          <w:tcPr>
            <w:tcW w:type="dxa" w:w="676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pPr>
            <w:r>
              <w:rPr>
                <w:rFonts w:ascii="Calibri" w:cs="Calibri" w:eastAsia="Calibri" w:hAnsi="Calibri"/>
                <w:color w:val="2A3C52"/>
                <w:sz w:val="20"/>
                <w:szCs w:val="20"/>
              </w:rPr>
              <w:t xml:space="preserve">Case Study 4</w:t>
            </w:r>
          </w:p>
        </w:tc>
        <w:tc>
          <w:tcPr>
            <w:tcW w:type="dxa" w:w="260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p>
        </w:tc>
      </w:tr>
      <w:tr>
        <w:tc>
          <w:tcPr>
            <w:tcW w:type="dxa" w:w="6760"/>
            <w:tcBorders>
              <w:top w:val="single" w:color="C4D2E2" w:sz="10"/>
              <w:left w:val="none" w:color="FFFFFF" w:sz="0"/>
              <w:bottom w:val="none" w:color="FFFFFF" w:sz="0"/>
              <w:right w:val="none" w:color="FFFFFF" w:sz="0"/>
            </w:tcBorders>
            <w:shd w:fill="EAF1F8" w:color="auto" w:val="clear"/>
            <w:tcMar>
              <w:top w:type="dxa" w:w="100"/>
              <w:left w:type="dxa" w:w="150"/>
              <w:bottom w:type="dxa" w:w="100"/>
              <w:right w:type="dxa" w:w="150"/>
            </w:tcMar>
          </w:tcPr>
          <w:p>
            <w:pPr>
              <w:spacing w:after="0" w:before="0" w:line="276"/>
            </w:pPr>
            <w:r>
              <w:rPr>
                <w:rFonts w:ascii="Calibri" w:cs="Calibri" w:eastAsia="Calibri" w:hAnsi="Calibri"/>
                <w:b/>
                <w:bCs/>
                <w:color w:val="0D274D"/>
                <w:sz w:val="20"/>
                <w:szCs w:val="20"/>
              </w:rPr>
              <w:t xml:space="preserve">Overall total</w:t>
            </w:r>
          </w:p>
        </w:tc>
        <w:tc>
          <w:tcPr>
            <w:tcW w:type="dxa" w:w="2600"/>
            <w:tcBorders>
              <w:top w:val="single" w:color="C4D2E2" w:sz="10"/>
              <w:left w:val="none" w:color="FFFFFF" w:sz="0"/>
              <w:bottom w:val="none" w:color="FFFFFF" w:sz="0"/>
              <w:right w:val="none" w:color="FFFFFF" w:sz="0"/>
            </w:tcBorders>
            <w:shd w:fill="EAF1F8" w:color="auto" w:val="clear"/>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r>
              <w:rPr>
                <w:rFonts w:ascii="Calibri" w:cs="Calibri" w:eastAsia="Calibri" w:hAnsi="Calibri"/>
                <w:b/>
                <w:bCs/>
                <w:color w:val="0D274D"/>
                <w:sz w:val="19"/>
                <w:szCs w:val="19"/>
              </w:rPr>
              <w:t xml:space="preserve"> / 400</w:t>
            </w:r>
          </w:p>
        </w:tc>
      </w:tr>
    </w:tbl>
    <w:p>
      <w:pPr>
        <w:spacing w:after="80" w:before="180" w:line="276"/>
      </w:pPr>
      <w:r>
        <w:rPr>
          <w:rFonts w:ascii="Calibri" w:cs="Calibri" w:eastAsia="Calibri" w:hAnsi="Calibri"/>
          <w:b/>
          <w:bCs/>
          <w:color w:val="0D274D"/>
          <w:sz w:val="30"/>
          <w:szCs w:val="30"/>
        </w:rPr>
        <w:t xml:space="preserve">Overall qualitative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2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across the clinic</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2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Priorities to develop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2026-08-03T19:03:25.767Z</dcterms:created>
  <dcterms:modified xsi:type="dcterms:W3CDTF">2026-08-03T19:03:25.767Z</dcterms:modified>
</cp:coreProperties>
</file>

<file path=docProps/custom.xml><?xml version="1.0" encoding="utf-8"?>
<Properties xmlns="http://schemas.openxmlformats.org/officeDocument/2006/custom-properties" xmlns:vt="http://schemas.openxmlformats.org/officeDocument/2006/docPropsVTypes"/>
</file>