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 · Facilitator</w:t>
      </w:r>
    </w:p>
    <w:p>
      <w:pPr>
        <w:spacing w:after="60" w:before="0" w:line="276"/>
      </w:pPr>
      <w:r>
        <w:rPr>
          <w:rFonts w:ascii="Calibri" w:cs="Calibri" w:eastAsia="Calibri" w:hAnsi="Calibri"/>
          <w:b/>
          <w:bCs/>
          <w:color w:val="0D274D"/>
          <w:sz w:val="42"/>
          <w:szCs w:val="42"/>
        </w:rPr>
        <w:t xml:space="preserve">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AI Defense (AI Model and Application Validation)</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AI Defense (Supply Chain Risk Management)</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 (Ai Cloud Visibility)</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AI Defense, AI visibility and guardrail integration. Multicloud Defense, cloud account connection, traffic visibility, policy attachment, and egress enforcement (AI Runtime Protection)</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AI Defense-Multicloud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Multicloud Defense (Multicloud Defense Gateways)</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Multicloud Defense (Multicloud Defense Visibility)</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Multicloud Defense (Unified Security across public clouds)</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Cisco Secure Firewall. Cisco Secure Firewall Management Center (FMC). Cisco Security Cloud Control (Secure Workload Integration with Secure Firewall Management Center)</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ISE (Security Group Tags (pxGrid integration))</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FMC, FTD (Unified Policy Administration)</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(FTD), FMC, Security Cloud Control (EVE)</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(FTD), FMC, Security Cloud Control (Snort ML)</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Runtime Security)</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the fitting Cisco solution (Cilium Networking Policies)</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cilium and tetragon</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Correctly names the pain point and the requirements behind this concern, not just the surface ask.</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Cisco Secure Firewall (Application dependency mapping)</w:t>
            </w:r>
            <w:r>
              <w:rPr>
                <w:rFonts w:ascii="Calibri" w:cs="Calibri" w:eastAsia="Calibri" w:hAnsi="Calibri"/>
                <w:color w:val="2A3C52"/>
                <w:sz w:val="19"/>
                <w:szCs w:val="19"/>
              </w:rPr>
              <w:t xml:space="preserve">. The right solution, architecture and approach for Cedarline.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2026-08-03T19:03:25.749Z</dcterms:created>
  <dcterms:modified xsi:type="dcterms:W3CDTF">2026-08-03T19:03:25.749Z</dcterms:modified>
</cp:coreProperties>
</file>

<file path=docProps/custom.xml><?xml version="1.0" encoding="utf-8"?>
<Properties xmlns="http://schemas.openxmlformats.org/officeDocument/2006/custom-properties" xmlns:vt="http://schemas.openxmlformats.org/officeDocument/2006/docPropsVTypes"/>
</file>