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 cumulative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Strategist</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Builder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Solution Explorer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b/>
          <w:bCs/>
          <w:color w:val="0B6670"/>
          <w:sz w:val="21"/>
          <w:szCs w:val="21"/>
        </w:rPr>
        <w:t xml:space="preserve">Solution Builder     </w:t>
      </w:r>
      <w:r>
        <w:rPr>
          <w:rFonts w:ascii="Calibri" w:cs="Calibri" w:eastAsia="Calibri" w:hAnsi="Calibri"/>
          <w:color w:val="7E8CA1"/>
          <w:sz w:val="16"/>
          <w:szCs w:val="16"/>
        </w:rPr>
        <w:t xml:space="preserve">(Solution Strategist 300 to 400;  Solution Builder 200 to 299;  Solution Explorer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2026-08-04T02:19:59.609Z</dcterms:created>
  <dcterms:modified xsi:type="dcterms:W3CDTF">2026-08-04T02:19:59.609Z</dcterms:modified>
</cp:coreProperties>
</file>

<file path=docProps/custom.xml><?xml version="1.0" encoding="utf-8"?>
<Properties xmlns="http://schemas.openxmlformats.org/officeDocument/2006/custom-properties" xmlns:vt="http://schemas.openxmlformats.org/officeDocument/2006/docPropsVTypes"/>
</file>