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You'll sit with four real conversations, hear what's keeping them up at night, and answer as SEs do: the right solution, why it fits, and the outcome it delivers — pulled together into one Hybrid Mesh Firewall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outcome — the business result — not just the feature.</w:t>
            </w:r>
          </w:p>
        </w:tc>
      </w:tr>
    </w:tbl>
    <w:p>
      <w:pPr>
        <w:spacing w:after="80" w:before="180" w:line="276"/>
      </w:pPr>
      <w:r>
        <w:rPr>
          <w:rFonts w:ascii="Calibri" w:cs="Calibri" w:eastAsia="Calibri" w:hAnsi="Calibri"/>
          <w:b/>
          <w:bCs/>
          <w:color w:val="0D274D"/>
          <w:sz w:val="30"/>
          <w:szCs w:val="30"/>
        </w:rPr>
        <w:t xml:space="preserve">Built for every SE in the room</w:t>
      </w:r>
    </w:p>
    <w:tbl>
      <w:tblPr>
        <w:tblW w:type="dxa" w:w="9360"/>
        <w:tblBorders>
          <w:top w:val="none" w:color="FFFFFF" w:sz="0"/>
          <w:left w:val="none" w:color="FFFFFF" w:sz="0"/>
          <w:bottom w:val="none" w:color="FFFFFF" w:sz="0"/>
          <w:right w:val="none" w:color="FFFFFF" w:sz="0"/>
          <w:insideH w:val="none" w:color="FFFFFF" w:sz="0"/>
          <w:insideV w:val="single" w:color="FFFFFF" w:sz="60"/>
        </w:tblBorders>
      </w:tblPr>
      <w:tblGrid>
        <w:gridCol w:w="4680"/>
        <w:gridCol w:w="4680"/>
      </w:tblGrid>
      <w:tr>
        <w:tc>
          <w:tcPr>
            <w:tcW w:type="dxa" w:w="4680"/>
            <w:tcBorders>
              <w:top w:val="single" w:color="BEE6F2" w:sz="6"/>
              <w:left w:val="single" w:color="BEE6F2" w:sz="6"/>
              <w:bottom w:val="single" w:color="BEE6F2" w:sz="6"/>
              <w:right w:val="single" w:color="BEE6F2" w:sz="6"/>
            </w:tcBorders>
            <w:shd w:fill="EAF7FB" w:color="auto" w:val="clear"/>
            <w:tcMar>
              <w:top w:type="dxa" w:w="110"/>
              <w:left w:type="dxa" w:w="140"/>
              <w:bottom w:type="dxa" w:w="110"/>
              <w:right w:type="dxa" w:w="140"/>
            </w:tcMar>
          </w:tcPr>
          <w:p>
            <w:pPr>
              <w:spacing w:after="50" w:before="0" w:line="276"/>
            </w:pPr>
            <w:r>
              <w:rPr>
                <w:rFonts w:ascii="Calibri" w:cs="Calibri" w:eastAsia="Calibri" w:hAnsi="Calibri"/>
                <w:b/>
                <w:bCs/>
                <w:caps/>
                <w:color w:val="0E6E90"/>
                <w:sz w:val="16"/>
                <w:szCs w:val="16"/>
              </w:rPr>
              <w:t xml:space="preserve">🧭 New to this area?</w:t>
            </w:r>
          </w:p>
          <w:p>
            <w:pPr>
              <w:spacing w:after="0" w:before="0" w:line="276"/>
            </w:pPr>
            <w:r>
              <w:rPr>
                <w:rFonts w:ascii="Calibri" w:cs="Calibri" w:eastAsia="Calibri" w:hAnsi="Calibri"/>
                <w:color w:val="134A5E"/>
                <w:sz w:val="18"/>
                <w:szCs w:val="18"/>
              </w:rPr>
              <w:t xml:space="preserve">Plain-language framing of what the customer is really asking — no security background assumed.</w:t>
            </w:r>
          </w:p>
        </w:tc>
        <w:tc>
          <w:tcPr>
            <w:tcW w:type="dxa" w:w="4680"/>
            <w:tcBorders>
              <w:top w:val="single" w:color="D6CBF0" w:sz="6"/>
              <w:left w:val="single" w:color="D6CBF0" w:sz="6"/>
              <w:bottom w:val="single" w:color="D6CBF0" w:sz="6"/>
              <w:right w:val="single" w:color="D6CBF0" w:sz="6"/>
            </w:tcBorders>
            <w:shd w:fill="F1ECFA" w:color="auto" w:val="clear"/>
            <w:tcMar>
              <w:top w:type="dxa" w:w="110"/>
              <w:left w:type="dxa" w:w="140"/>
              <w:bottom w:type="dxa" w:w="110"/>
              <w:right w:type="dxa" w:w="140"/>
            </w:tcMar>
          </w:tcPr>
          <w:p>
            <w:pPr>
              <w:spacing w:after="50" w:before="0" w:line="276"/>
            </w:pPr>
            <w:r>
              <w:rPr>
                <w:rFonts w:ascii="Calibri" w:cs="Calibri" w:eastAsia="Calibri" w:hAnsi="Calibri"/>
                <w:b/>
                <w:bCs/>
                <w:caps/>
                <w:color w:val="5B3FBC"/>
                <w:sz w:val="16"/>
                <w:szCs w:val="16"/>
              </w:rPr>
              <w:t xml:space="preserve">🔐 For security specialists</w:t>
            </w:r>
          </w:p>
          <w:p>
            <w:pPr>
              <w:spacing w:after="0" w:before="0" w:line="276"/>
            </w:pPr>
            <w:r>
              <w:rPr>
                <w:rFonts w:ascii="Calibri" w:cs="Calibri" w:eastAsia="Calibri" w:hAnsi="Calibri"/>
                <w:color w:val="3E2E73"/>
                <w:sz w:val="18"/>
                <w:szCs w:val="18"/>
              </w:rPr>
              <w:t xml:space="preserve">The deeper technical angle and the specific Cisco capabilities in play.</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 — AI Security</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 — Cloud Edge</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 — DC Edge · Perimeter Firewall</w:t>
            </w:r>
          </w:p>
          <w:p>
            <w:pPr>
              <w:spacing w:after="0" w:before="0" w:line="276"/>
            </w:pPr>
            <w:r>
              <w:rPr>
                <w:rFonts w:ascii="Calibri" w:cs="Calibri" w:eastAsia="Calibri" w:hAnsi="Calibri"/>
                <w:color w:val="3A4C63"/>
                <w:sz w:val="18"/>
                <w:szCs w:val="18"/>
              </w:rPr>
              <w:t xml:space="preserve">A mixed-vendor perimeter, an inherited rulebase and mostly-encrypted traffic leave blind spots and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 — Macro &amp; Micro Segmentation</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Teams of 3–5, mixing specialists and generalists. Each team gets a </w:t>
      </w:r>
      <w:r>
        <w:rPr>
          <w:rFonts w:ascii="Calibri" w:cs="Calibri" w:eastAsia="Calibri" w:hAnsi="Calibri"/>
          <w:b/>
          <w:bCs/>
          <w:color w:val="0D274D"/>
          <w:sz w:val="21"/>
          <w:szCs w:val="21"/>
        </w:rPr>
        <w:t xml:space="preserve">Team Workbook</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Work all four case studies — four pain points each. For every one: the </w:t>
      </w:r>
      <w:r>
        <w:rPr>
          <w:rFonts w:ascii="Calibri" w:cs="Calibri" w:eastAsia="Calibri" w:hAnsi="Calibri"/>
          <w:b/>
          <w:bCs/>
          <w:color w:val="0D274D"/>
          <w:sz w:val="21"/>
          <w:szCs w:val="21"/>
        </w:rPr>
        <w:t xml:space="preserve">product/platform</w:t>
      </w:r>
      <w:r>
        <w:rPr>
          <w:rFonts w:ascii="Calibri" w:cs="Calibri" w:eastAsia="Calibri" w:hAnsi="Calibri"/>
          <w:color w:val="3A4C63"/>
          <w:sz w:val="21"/>
          <w:szCs w:val="21"/>
        </w:rPr>
        <w:t xml:space="preserve"> and the SE response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 paste/draw it on the last page.</w:t>
      </w:r>
    </w:p>
    <w:p>
      <w:pPr>
        <w:spacing w:after="120" w:before="0" w:line="276"/>
      </w:pPr>
      <w:r>
        <w:rPr>
          <w:rFonts w:ascii="Calibri" w:cs="Calibri" w:eastAsia="Calibri" w:hAnsi="Calibri"/>
          <w:color w:val="3A4C63"/>
          <w:sz w:val="21"/>
          <w:szCs w:val="21"/>
        </w:rPr>
        <w:t xml:space="preserve">•  Suggested timing: ~10 min per case study, ~15 min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evaluate — Good, Better, Best</w:t>
      </w:r>
    </w:p>
    <w:p>
      <w:pPr>
        <w:spacing w:after="100" w:before="0" w:line="276"/>
      </w:pPr>
      <w:r>
        <w:rPr>
          <w:rFonts w:ascii="Calibri" w:cs="Calibri" w:eastAsia="Calibri" w:hAnsi="Calibri"/>
          <w:color w:val="3A4C63"/>
          <w:sz w:val="21"/>
          <w:szCs w:val="21"/>
        </w:rPr>
        <w:t xml:space="preserve">Qualitative and encouraging — </w:t>
      </w:r>
      <w:r>
        <w:rPr>
          <w:rFonts w:ascii="Calibri" w:cs="Calibri" w:eastAsia="Calibri" w:hAnsi="Calibri"/>
          <w:b/>
          <w:bCs/>
          <w:color w:val="0D274D"/>
          <w:sz w:val="21"/>
          <w:szCs w:val="21"/>
        </w:rPr>
        <w:t xml:space="preserve">no marks, no pass/fail</w:t>
      </w:r>
      <w:r>
        <w:rPr>
          <w:rFonts w:ascii="Calibri" w:cs="Calibri" w:eastAsia="Calibri" w:hAnsi="Calibri"/>
          <w:color w:val="3A4C63"/>
          <w:sz w:val="21"/>
          <w:szCs w:val="21"/>
        </w:rPr>
        <w:t xml:space="preserve">. Every answer sits on a growth ladder; facilitators name the level and coach one step up.</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 how it works and why it answers this specific problem —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 strengths first, then one growth nudge per case study.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2026-08-03T10:49:41.227Z</dcterms:created>
  <dcterms:modified xsi:type="dcterms:W3CDTF">2026-08-03T10:49:41.227Z</dcterms:modified>
</cp:coreProperties>
</file>

<file path=docProps/custom.xml><?xml version="1.0" encoding="utf-8"?>
<Properties xmlns="http://schemas.openxmlformats.org/officeDocument/2006/custom-properties" xmlns:vt="http://schemas.openxmlformats.org/officeDocument/2006/docPropsVTypes"/>
</file>