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HMF Design Clinic · Facilitator</w:t>
      </w:r>
    </w:p>
    <w:p>
      <w:pPr>
        <w:spacing w:after="60" w:before="0" w:line="276"/>
      </w:pPr>
      <w:r>
        <w:rPr>
          <w:rFonts w:ascii="Calibri" w:cs="Calibri" w:eastAsia="Calibri" w:hAnsi="Calibri"/>
          <w:b/>
          <w:bCs/>
          <w:color w:val="0D274D"/>
          <w:sz w:val="42"/>
          <w:szCs w:val="42"/>
        </w:rPr>
        <w:t xml:space="preserve">Solution Guide</w:t>
      </w:r>
    </w:p>
    <w:p>
      <w:pPr>
        <w:spacing w:after="140" w:before="0" w:line="276"/>
      </w:pPr>
      <w:r>
        <w:rPr>
          <w:rFonts w:ascii="Calibri" w:cs="Calibri" w:eastAsia="Calibri" w:hAnsi="Calibri"/>
          <w:color w:val="3A4C63"/>
          <w:sz w:val="24"/>
          <w:szCs w:val="24"/>
        </w:rPr>
        <w:t xml:space="preserve">Reference answers &amp; the Good · Better · Best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Your model-answer companion.  </w:t>
            </w:r>
            <w:r>
              <w:rPr>
                <w:rFonts w:ascii="Calibri" w:cs="Calibri" w:eastAsia="Calibri" w:hAnsi="Calibri"/>
                <w:color w:val="33465F"/>
                <w:sz w:val="20"/>
                <w:szCs w:val="20"/>
              </w:rPr>
              <w:t xml:space="preserve">For every pain point: the fitting Cisco solution, how a strong SE explains it, the outcome it delivers, and what Good, Better and Best sound like — so you can recognise and coach each level.</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customer.  </w:t>
            </w:r>
            <w:r>
              <w:rPr>
                <w:rFonts w:ascii="Calibri" w:cs="Calibri" w:eastAsia="Calibri" w:hAnsi="Calibri"/>
                <w:color w:val="33465F"/>
                <w:sz w:val="20"/>
                <w:szCs w:val="20"/>
              </w:rPr>
              <w:t xml:space="preserve">Cedarline Health Group is a regional healthcare payer-provider —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 and leadership still cannot answer. Budget and executive attention are approved, but explicitly temporary, and the security team is small.</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evaluation approach</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Good · Better · Best — a growth ladder, not a grade</w:t>
      </w:r>
    </w:p>
    <w:p>
      <w:pPr>
        <w:spacing w:after="100" w:before="0" w:line="276"/>
      </w:pPr>
      <w:r>
        <w:rPr>
          <w:rFonts w:ascii="Calibri" w:cs="Calibri" w:eastAsia="Calibri" w:hAnsi="Calibri"/>
          <w:color w:val="3A4C63"/>
          <w:sz w:val="21"/>
          <w:szCs w:val="21"/>
        </w:rPr>
        <w:t xml:space="preserve">We evaluate qualitatively. There are no points — each answer sits on a ladder, and your job is to recognise where it lands and nudge it upward. Every level is a win worth naming.</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2E9E6B" w:sz="40"/>
              <w:left w:val="single" w:color="C4D2E2" w:sz="6"/>
              <w:bottom w:val="single" w:color="C4D2E2" w:sz="6"/>
              <w:right w:val="single" w:color="C4D2E2" w:sz="6"/>
            </w:tcBorders>
            <w:tcMar>
              <w:top w:type="dxa" w:w="120"/>
              <w:left w:type="dxa" w:w="150"/>
              <w:bottom w:type="dxa" w:w="120"/>
              <w:right w:type="dxa" w:w="150"/>
            </w:tcMar>
            <w:vAlign w:val="top"/>
          </w:tcPr>
          <w:p>
            <w:pPr>
              <w:spacing w:after="20" w:before="0" w:line="276"/>
            </w:pPr>
            <w:r>
              <w:rPr>
                <w:rFonts w:ascii="Calibri" w:cs="Calibri" w:eastAsia="Calibri" w:hAnsi="Calibri"/>
                <w:b/>
                <w:bCs/>
                <w:color w:val="237A51"/>
                <w:sz w:val="24"/>
                <w:szCs w:val="24"/>
              </w:rPr>
              <w:t xml:space="preserve">🌱 Good</w:t>
            </w:r>
          </w:p>
          <w:p>
            <w:pPr>
              <w:spacing w:after="60" w:before="0" w:line="276"/>
            </w:pPr>
            <w:r>
              <w:rPr>
                <w:rFonts w:ascii="Calibri" w:cs="Calibri" w:eastAsia="Calibri" w:hAnsi="Calibri"/>
                <w:b/>
                <w:bCs/>
                <w:caps/>
                <w:color w:val="7E8CA1"/>
                <w:sz w:val="15"/>
                <w:szCs w:val="15"/>
              </w:rPr>
              <w:t xml:space="preserve">Names the fit</w:t>
            </w:r>
          </w:p>
          <w:p>
            <w:pPr>
              <w:spacing w:after="0" w:before="0" w:line="276"/>
            </w:pPr>
            <w:r>
              <w:rPr>
                <w:rFonts w:ascii="Calibri" w:cs="Calibri" w:eastAsia="Calibri" w:hAnsi="Calibri"/>
                <w:color w:val="33465F"/>
                <w:sz w:val="18"/>
                <w:szCs w:val="18"/>
              </w:rPr>
              <w:t xml:space="preserve">You put the right Cisco solution on the table and show you understand what the customer is actually worried about.</w:t>
            </w:r>
          </w:p>
        </w:tc>
        <w:tc>
          <w:tcPr>
            <w:tcW w:type="dxa" w:w="3120"/>
            <w:tcBorders>
              <w:top w:val="single" w:color="1273B8" w:sz="40"/>
              <w:left w:val="single" w:color="C4D2E2" w:sz="6"/>
              <w:bottom w:val="single" w:color="C4D2E2" w:sz="6"/>
              <w:right w:val="single" w:color="C4D2E2" w:sz="6"/>
            </w:tcBorders>
            <w:tcMar>
              <w:top w:type="dxa" w:w="120"/>
              <w:left w:type="dxa" w:w="150"/>
              <w:bottom w:type="dxa" w:w="120"/>
              <w:right w:type="dxa" w:w="150"/>
            </w:tcMar>
            <w:vAlign w:val="top"/>
          </w:tcPr>
          <w:p>
            <w:pPr>
              <w:spacing w:after="20" w:before="0" w:line="276"/>
            </w:pPr>
            <w:r>
              <w:rPr>
                <w:rFonts w:ascii="Calibri" w:cs="Calibri" w:eastAsia="Calibri" w:hAnsi="Calibri"/>
                <w:b/>
                <w:bCs/>
                <w:color w:val="0F5E96"/>
                <w:sz w:val="24"/>
                <w:szCs w:val="24"/>
              </w:rPr>
              <w:t xml:space="preserve">🔷 Better</w:t>
            </w:r>
          </w:p>
          <w:p>
            <w:pPr>
              <w:spacing w:after="60" w:before="0" w:line="276"/>
            </w:pPr>
            <w:r>
              <w:rPr>
                <w:rFonts w:ascii="Calibri" w:cs="Calibri" w:eastAsia="Calibri" w:hAnsi="Calibri"/>
                <w:b/>
                <w:bCs/>
                <w:caps/>
                <w:color w:val="7E8CA1"/>
                <w:sz w:val="15"/>
                <w:szCs w:val="15"/>
              </w:rPr>
              <w:t xml:space="preserve">Explains the how</w:t>
            </w:r>
          </w:p>
          <w:p>
            <w:pPr>
              <w:spacing w:after="0" w:before="0" w:line="276"/>
            </w:pPr>
            <w:r>
              <w:rPr>
                <w:rFonts w:ascii="Calibri" w:cs="Calibri" w:eastAsia="Calibri" w:hAnsi="Calibri"/>
                <w:color w:val="33465F"/>
                <w:sz w:val="18"/>
                <w:szCs w:val="18"/>
              </w:rPr>
              <w:t xml:space="preserve">You connect that solution to the concern — how it works and why it answers this specific problem — in language the customer would nod along to.</w:t>
            </w:r>
          </w:p>
        </w:tc>
        <w:tc>
          <w:tcPr>
            <w:tcW w:type="dxa" w:w="3120"/>
            <w:tcBorders>
              <w:top w:val="single" w:color="B7791F" w:sz="40"/>
              <w:left w:val="single" w:color="C4D2E2" w:sz="6"/>
              <w:bottom w:val="single" w:color="C4D2E2" w:sz="6"/>
              <w:right w:val="single" w:color="C4D2E2" w:sz="6"/>
            </w:tcBorders>
            <w:tcMar>
              <w:top w:type="dxa" w:w="120"/>
              <w:left w:type="dxa" w:w="150"/>
              <w:bottom w:type="dxa" w:w="120"/>
              <w:right w:type="dxa" w:w="150"/>
            </w:tcMar>
            <w:vAlign w:val="top"/>
          </w:tcPr>
          <w:p>
            <w:pPr>
              <w:spacing w:after="20" w:before="0" w:line="276"/>
            </w:pPr>
            <w:r>
              <w:rPr>
                <w:rFonts w:ascii="Calibri" w:cs="Calibri" w:eastAsia="Calibri" w:hAnsi="Calibri"/>
                <w:b/>
                <w:bCs/>
                <w:color w:val="9A6516"/>
                <w:sz w:val="24"/>
                <w:szCs w:val="24"/>
              </w:rPr>
              <w:t xml:space="preserve">⭐ Best</w:t>
            </w:r>
          </w:p>
          <w:p>
            <w:pPr>
              <w:spacing w:after="60" w:before="0" w:line="276"/>
            </w:pPr>
            <w:r>
              <w:rPr>
                <w:rFonts w:ascii="Calibri" w:cs="Calibri" w:eastAsia="Calibri" w:hAnsi="Calibri"/>
                <w:b/>
                <w:bCs/>
                <w:caps/>
                <w:color w:val="7E8CA1"/>
                <w:sz w:val="15"/>
                <w:szCs w:val="15"/>
              </w:rPr>
              <w:t xml:space="preserve">Sells the outcome</w:t>
            </w:r>
          </w:p>
          <w:p>
            <w:pPr>
              <w:spacing w:after="0" w:before="0" w:line="276"/>
            </w:pPr>
            <w:r>
              <w:rPr>
                <w:rFonts w:ascii="Calibri" w:cs="Calibri" w:eastAsia="Calibri" w:hAnsi="Calibri"/>
                <w:color w:val="33465F"/>
                <w:sz w:val="18"/>
                <w:szCs w:val="18"/>
              </w:rPr>
              <w:t xml:space="preserve">You tie it to Cedarline's real constraints and the business outcome they care about, and you place it inside the bigger Hybrid Mesh Firewall story.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Coach both audiences.  </w:t>
            </w:r>
            <w:r>
              <w:rPr>
                <w:rFonts w:ascii="Calibri" w:cs="Calibri" w:eastAsia="Calibri" w:hAnsi="Calibri"/>
                <w:color w:val="33465F"/>
                <w:sz w:val="20"/>
                <w:szCs w:val="20"/>
              </w:rPr>
              <w:t xml:space="preserve">A specialist may leap to Best — push them on the customer's specific constraints. A generalist who reaches Good has genuinely succeeded — celebrate it, then show the one sentence that makes it Better.</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1 · reference</w:t>
      </w:r>
    </w:p>
    <w:p>
      <w:pPr>
        <w:spacing w:after="60" w:before="0" w:line="276"/>
      </w:pPr>
      <w:r>
        <w:rPr>
          <w:rFonts w:ascii="Calibri" w:cs="Calibri" w:eastAsia="Calibri" w:hAnsi="Calibri"/>
          <w:b/>
          <w:bCs/>
          <w:color w:val="0D274D"/>
          <w:sz w:val="42"/>
          <w:szCs w:val="42"/>
        </w:rPr>
        <w:t xml:space="preserve">AI Security</w:t>
      </w:r>
    </w:p>
    <w:tbl>
      <w:tblPr>
        <w:tblW w:type="dxa" w:w="9360"/>
        <w:tblBorders>
          <w:top w:val="none" w:color="FFFFFF" w:sz="0"/>
          <w:left w:val="none" w:color="FFFFFF" w:sz="0"/>
          <w:bottom w:val="none" w:color="FFFFFF" w:sz="0"/>
          <w:right w:val="none" w:color="FFFFFF" w:sz="0"/>
          <w:insideH w:val="none" w:color="FFFFFF" w:sz="0"/>
          <w:insideV w:val="single" w:color="FFFFFF" w:sz="60"/>
        </w:tblBorders>
      </w:tblPr>
      <w:tblGrid>
        <w:gridCol w:w="4680"/>
        <w:gridCol w:w="4680"/>
      </w:tblGrid>
      <w:tr>
        <w:tc>
          <w:tcPr>
            <w:tcW w:type="dxa" w:w="4680"/>
            <w:tcBorders>
              <w:top w:val="single" w:color="BEE6F2" w:sz="6"/>
              <w:left w:val="single" w:color="BEE6F2" w:sz="6"/>
              <w:bottom w:val="single" w:color="BEE6F2" w:sz="6"/>
              <w:right w:val="single" w:color="BEE6F2" w:sz="6"/>
            </w:tcBorders>
            <w:shd w:fill="EAF7FB" w:color="auto" w:val="clear"/>
            <w:tcMar>
              <w:top w:type="dxa" w:w="110"/>
              <w:left w:type="dxa" w:w="140"/>
              <w:bottom w:type="dxa" w:w="110"/>
              <w:right w:type="dxa" w:w="140"/>
            </w:tcMar>
          </w:tcPr>
          <w:p>
            <w:pPr>
              <w:spacing w:after="50" w:before="0" w:line="276"/>
            </w:pPr>
            <w:r>
              <w:rPr>
                <w:rFonts w:ascii="Calibri" w:cs="Calibri" w:eastAsia="Calibri" w:hAnsi="Calibri"/>
                <w:b/>
                <w:bCs/>
                <w:caps/>
                <w:color w:val="0E6E90"/>
                <w:sz w:val="16"/>
                <w:szCs w:val="16"/>
              </w:rPr>
              <w:t xml:space="preserve">🧭 New to this area?</w:t>
            </w:r>
          </w:p>
          <w:p>
            <w:pPr>
              <w:spacing w:after="0" w:before="0" w:line="276"/>
            </w:pPr>
            <w:r>
              <w:rPr>
                <w:rFonts w:ascii="Calibri" w:cs="Calibri" w:eastAsia="Calibri" w:hAnsi="Calibri"/>
                <w:color w:val="134A5E"/>
                <w:sz w:val="18"/>
                <w:szCs w:val="18"/>
              </w:rPr>
              <w:t xml:space="preserve">AI is now part of the attack surface. Cedarline has to prove to regulators that their AI is safe, vet the AI models and tools they adopt before they go live, and get eyes on AI traffic they currently can't see.</w:t>
            </w:r>
          </w:p>
        </w:tc>
        <w:tc>
          <w:tcPr>
            <w:tcW w:type="dxa" w:w="4680"/>
            <w:tcBorders>
              <w:top w:val="single" w:color="D6CBF0" w:sz="6"/>
              <w:left w:val="single" w:color="D6CBF0" w:sz="6"/>
              <w:bottom w:val="single" w:color="D6CBF0" w:sz="6"/>
              <w:right w:val="single" w:color="D6CBF0" w:sz="6"/>
            </w:tcBorders>
            <w:shd w:fill="F1ECFA" w:color="auto" w:val="clear"/>
            <w:tcMar>
              <w:top w:type="dxa" w:w="110"/>
              <w:left w:type="dxa" w:w="140"/>
              <w:bottom w:type="dxa" w:w="110"/>
              <w:right w:type="dxa" w:w="140"/>
            </w:tcMar>
          </w:tcPr>
          <w:p>
            <w:pPr>
              <w:spacing w:after="50" w:before="0" w:line="276"/>
            </w:pPr>
            <w:r>
              <w:rPr>
                <w:rFonts w:ascii="Calibri" w:cs="Calibri" w:eastAsia="Calibri" w:hAnsi="Calibri"/>
                <w:b/>
                <w:bCs/>
                <w:caps/>
                <w:color w:val="5B3FBC"/>
                <w:sz w:val="16"/>
                <w:szCs w:val="16"/>
              </w:rPr>
              <w:t xml:space="preserve">🔐 For security specialists</w:t>
            </w:r>
          </w:p>
          <w:p>
            <w:pPr>
              <w:spacing w:after="0" w:before="0" w:line="276"/>
            </w:pPr>
            <w:r>
              <w:rPr>
                <w:rFonts w:ascii="Calibri" w:cs="Calibri" w:eastAsia="Calibri" w:hAnsi="Calibri"/>
                <w:color w:val="3E2E73"/>
                <w:sz w:val="18"/>
                <w:szCs w:val="18"/>
              </w:rPr>
              <w:t xml:space="preserve">Frame around AI Defense: algorithmic red-teaming for model/app validation, supply-chain scanning of models, repos and MCP servers, AI cloud visibility for asset discovery, and runtime prompt/response guardrails via the AI Defense–Multicloud Defense integration.</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7"/>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AI Defense · AI Model and Application Validation</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 AI Defense is specifically designed to support Provider obligations under the EU AI Act. We utilize algorithmic red teaming technology for AI Model &amp; App Validation, which identifies safety and security vulnerabilities at scale. By documenting these validation results and maintaining continuous runtime protection, you create a defensible, auditable framework.</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AI Defense and clearly gets the concern —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Cisco AI Defense is specifically designed to support Provider obligations under the EU AI Act. We utilize algorithmic red teaming technology for AI Model &amp; App Validation, which identifies safety and security vulnerabilities at scale.</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 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 — and positions it within the wider Hybrid Mesh Firewall design.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7"/>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AI Defense · Supply Chain Risk Management</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 AI Defense addresses this through proactive Supply Chain Risk Management. We scan your model files, repositories, and MCP servers to identify malicious or unsafe assets. By integrating this into your CI/CD pipeline, we can block compromised AI assets before they are deployed, ensuring that your operational environment remains secure from the start.</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AI Defense and clearly gets the concern —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Cisco AI Defense addresses this through proactive Supply Chain Risk Management. We scan your model files, repositories, and MCP servers to identify malicious or unsafe assets.</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 It enables "Shift-Left" security by creating an inventory of all AI models and agents. By identifying vulnerabilities before production, it prevents the introduction of malicious code or poisoned data into your ecosystem. — and positions it within the wider Hybrid Mesh Firewall design.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7"/>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 AI Defense - AI Cloud Visibility · Ai Cloud Visibility</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That's exactly the visibility gap Cisco AI Defense is built to solve. With AI Cloud Visibility, Cisco AI Defense continuously discovers AI assets across distributed cloud environments, including models, agents, datasets, MCP servers, and agent-to-tool workflows. Instead of relying on teams to manually identify what exists, you get a centralized view of your AI attack surface so you can find unsanctioned assets, assess whether they are protected, and bring them under policy.</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dentifies rogue or unsanctioned AI assets Maps relationships across data, models, agents, and tools Gives security teams a single-pane-of-glass view of AI exposure Helps close gaps before unknown AI usage becomes a production risk</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Cisco AI Defense - AI Cloud Visibility and clearly gets the concern —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That's exactly the visibility gap Cisco AI Defense is built to solve. With AI Cloud Visibility, Cisco AI Defense continuously discovers AI assets across distributed cloud environments, including models, agents, datasets, MCP servers, and agent-to-tool workflows.</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 dentifies rogue or unsanctioned AI assets Maps relationships across data, models, agents, and tools Gives security teams a single-pane-of-glass view of AI exposure Helps close gaps before unknown AI usage becomes a production risk. — and positions it within the wider Hybrid Mesh Firewall design.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7"/>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AI Defense = AI visibility and guardrail integration
Multicloud Defense = cloud account connection, traffic visibility, policy attachment, and egress enforcement · AI Runtime Protection</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That's exactly what the AI Defense-Multicloud Defense integration is designed to address. Cisco AI Defense uses the integration to discover AI assets in your cloud environments and identify external AI destinations your workloads are calling. Then Cisco Multicloud Defense provides the cloud account connectivity, traffic visibility, and egress gateway enforcement point where AI Guardrails Profiles can be applied. In practice, that means you get AI asset visibility plus runtime inspection of prompt and response traffic at the cloud egress layer. AI Defense gives you the AI-specific visibility and guardrail logic, while Multicloud Defense gives you the cloud-network integration and enforcement point.</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Finds AI assets in cloud accounts Identifies third-party AI model usage Uses existing cloud-network control points for enforcement Avoids relying only on application-level changes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AI Defense and clearly gets the concern —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That's exactly what the AI Defense-Multicloud Defense integration is designed to address. Cisco AI Defense uses the integration to discover AI assets in your cloud environments and identify external AI destinations your workloads are calling.</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 Finds AI assets in cloud accounts Identifies third-party AI model usage Uses existing cloud-network control points for enforcement Avoids relying only on application-level changes. — and positions it within the wider Hybrid Mesh Firewall design.</w:t>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2 · reference</w:t>
      </w:r>
    </w:p>
    <w:p>
      <w:pPr>
        <w:spacing w:after="60" w:before="0" w:line="276"/>
      </w:pPr>
      <w:r>
        <w:rPr>
          <w:rFonts w:ascii="Calibri" w:cs="Calibri" w:eastAsia="Calibri" w:hAnsi="Calibri"/>
          <w:b/>
          <w:bCs/>
          <w:color w:val="0D274D"/>
          <w:sz w:val="42"/>
          <w:szCs w:val="42"/>
        </w:rPr>
        <w:t xml:space="preserve">Cloud Edge</w:t>
      </w:r>
    </w:p>
    <w:tbl>
      <w:tblPr>
        <w:tblW w:type="dxa" w:w="9360"/>
        <w:tblBorders>
          <w:top w:val="none" w:color="FFFFFF" w:sz="0"/>
          <w:left w:val="none" w:color="FFFFFF" w:sz="0"/>
          <w:bottom w:val="none" w:color="FFFFFF" w:sz="0"/>
          <w:right w:val="none" w:color="FFFFFF" w:sz="0"/>
          <w:insideH w:val="none" w:color="FFFFFF" w:sz="0"/>
          <w:insideV w:val="single" w:color="FFFFFF" w:sz="60"/>
        </w:tblBorders>
      </w:tblPr>
      <w:tblGrid>
        <w:gridCol w:w="4680"/>
        <w:gridCol w:w="4680"/>
      </w:tblGrid>
      <w:tr>
        <w:tc>
          <w:tcPr>
            <w:tcW w:type="dxa" w:w="4680"/>
            <w:tcBorders>
              <w:top w:val="single" w:color="BEE6F2" w:sz="6"/>
              <w:left w:val="single" w:color="BEE6F2" w:sz="6"/>
              <w:bottom w:val="single" w:color="BEE6F2" w:sz="6"/>
              <w:right w:val="single" w:color="BEE6F2" w:sz="6"/>
            </w:tcBorders>
            <w:shd w:fill="EAF7FB" w:color="auto" w:val="clear"/>
            <w:tcMar>
              <w:top w:type="dxa" w:w="110"/>
              <w:left w:type="dxa" w:w="140"/>
              <w:bottom w:type="dxa" w:w="110"/>
              <w:right w:type="dxa" w:w="140"/>
            </w:tcMar>
          </w:tcPr>
          <w:p>
            <w:pPr>
              <w:spacing w:after="50" w:before="0" w:line="276"/>
            </w:pPr>
            <w:r>
              <w:rPr>
                <w:rFonts w:ascii="Calibri" w:cs="Calibri" w:eastAsia="Calibri" w:hAnsi="Calibri"/>
                <w:b/>
                <w:bCs/>
                <w:caps/>
                <w:color w:val="0E6E90"/>
                <w:sz w:val="16"/>
                <w:szCs w:val="16"/>
              </w:rPr>
              <w:t xml:space="preserve">🧭 New to this area?</w:t>
            </w:r>
          </w:p>
          <w:p>
            <w:pPr>
              <w:spacing w:after="0" w:before="0" w:line="276"/>
            </w:pPr>
            <w:r>
              <w:rPr>
                <w:rFonts w:ascii="Calibri" w:cs="Calibri" w:eastAsia="Calibri" w:hAnsi="Calibri"/>
                <w:color w:val="134A5E"/>
                <w:sz w:val="18"/>
                <w:szCs w:val="18"/>
              </w:rPr>
              <w:t xml:space="preserve">Cedarline runs applications across several public clouds, each with its own security settings. That inconsistency is risky and painful to audit. They want one place to set policy and prove it.</w:t>
            </w:r>
          </w:p>
        </w:tc>
        <w:tc>
          <w:tcPr>
            <w:tcW w:type="dxa" w:w="4680"/>
            <w:tcBorders>
              <w:top w:val="single" w:color="D6CBF0" w:sz="6"/>
              <w:left w:val="single" w:color="D6CBF0" w:sz="6"/>
              <w:bottom w:val="single" w:color="D6CBF0" w:sz="6"/>
              <w:right w:val="single" w:color="D6CBF0" w:sz="6"/>
            </w:tcBorders>
            <w:shd w:fill="F1ECFA" w:color="auto" w:val="clear"/>
            <w:tcMar>
              <w:top w:type="dxa" w:w="110"/>
              <w:left w:type="dxa" w:w="140"/>
              <w:bottom w:type="dxa" w:w="110"/>
              <w:right w:type="dxa" w:w="140"/>
            </w:tcMar>
          </w:tcPr>
          <w:p>
            <w:pPr>
              <w:spacing w:after="50" w:before="0" w:line="276"/>
            </w:pPr>
            <w:r>
              <w:rPr>
                <w:rFonts w:ascii="Calibri" w:cs="Calibri" w:eastAsia="Calibri" w:hAnsi="Calibri"/>
                <w:b/>
                <w:bCs/>
                <w:caps/>
                <w:color w:val="5B3FBC"/>
                <w:sz w:val="16"/>
                <w:szCs w:val="16"/>
              </w:rPr>
              <w:t xml:space="preserve">🔐 For security specialists</w:t>
            </w:r>
          </w:p>
          <w:p>
            <w:pPr>
              <w:spacing w:after="0" w:before="0" w:line="276"/>
            </w:pPr>
            <w:r>
              <w:rPr>
                <w:rFonts w:ascii="Calibri" w:cs="Calibri" w:eastAsia="Calibri" w:hAnsi="Calibri"/>
                <w:color w:val="3E2E73"/>
                <w:sz w:val="18"/>
                <w:szCs w:val="18"/>
              </w:rPr>
              <w:t xml:space="preserve">Unified control plane via Multicloud Defense inside HMF; macro/micro-segmentation to contain east-west movement; consolidated logging mapped to frameworks like NIS2/DORA; Secure Workload + Secure Firewall for hybrid policy consistency.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7"/>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Multicloud Defense · Multicloud Defense Gateways</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Multicloud Defense and clearly gets the concern —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 It provides granular visibility and control over east-west traffic. By applying Zero Trust principles across the hybrid fabric, you transform your network into a series of secure, isolated zones that prevent an attacker from pivoting through your infrastructure. — and positions it within the wider Hybrid Mesh Firewall design.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7"/>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Multicloud Defense · Multicloud Defense Visibility</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Multicloud Defense and clearly gets the concern —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 It automates the collection of evidence for security audits. By consolidating logs and policy enforcement data, you create a "single source of truth" that simplifies compliance reporting and demonstrates proactive governance to regulators. — and positions it within the wider Hybrid Mesh Firewall design.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7"/>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Multicloud Defense · Unified Security across public clouds</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Multicloud Defense and clearly gets the concern —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 It replaces siloed, manual configuration with centralized orchestration. By abstracting the security policy from the cloud-native tools, it ensures that your security posture is uniform and eliminates the "configuration drift" that occurs when managing multiple cloud consoles. — and positions it within the wider Hybrid Mesh Firewall design.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7"/>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 Secure Workload
Cisco Secure Firewall
Cisco Secure Firewall Management Center (FMC)
Cisco Security Cloud Control · Secure Workload Integration with Secure Firewall Management Center</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That's a common hybrid environment challenge. Cisco Secure Workload helps create a more unified segmentation model by using application dependency awareness and AI/ML-driven policy discovery to define policy based on how workloads actually communicate. Cisco Secure Firewall then enforces broader segmentation boundaries at the network layer.</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Reduces policy drift across hybrid and multicloud environments Aligns policy to application behavior, not just static IP-based rules Supports consistent macro and micro controls together</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Cisco Secure Workload Cisco Secure Firewal… and clearly gets the concern —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That's a common hybrid environment challenge. Cisco Secure Workload helps create a more unified segmentation model by using application dependency awareness and AI/ML-driven policy discovery to define policy based on how workloads actually communicate.</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 Reduces policy drift across hybrid and multicloud environments Aligns policy to application behavior, not just static IP-based rules Supports consistent macro and micro controls together. — and positions it within the wider Hybrid Mesh Firewall design.</w:t>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3 · reference</w:t>
      </w:r>
    </w:p>
    <w:p>
      <w:pPr>
        <w:spacing w:after="60" w:before="0" w:line="276"/>
      </w:pPr>
      <w:r>
        <w:rPr>
          <w:rFonts w:ascii="Calibri" w:cs="Calibri" w:eastAsia="Calibri" w:hAnsi="Calibri"/>
          <w:b/>
          <w:bCs/>
          <w:color w:val="0D274D"/>
          <w:sz w:val="42"/>
          <w:szCs w:val="42"/>
        </w:rPr>
        <w:t xml:space="preserve">DC Edge · Perimeter Firewall</w:t>
      </w:r>
    </w:p>
    <w:tbl>
      <w:tblPr>
        <w:tblW w:type="dxa" w:w="9360"/>
        <w:tblBorders>
          <w:top w:val="none" w:color="FFFFFF" w:sz="0"/>
          <w:left w:val="none" w:color="FFFFFF" w:sz="0"/>
          <w:bottom w:val="none" w:color="FFFFFF" w:sz="0"/>
          <w:right w:val="none" w:color="FFFFFF" w:sz="0"/>
          <w:insideH w:val="none" w:color="FFFFFF" w:sz="0"/>
          <w:insideV w:val="single" w:color="FFFFFF" w:sz="60"/>
        </w:tblBorders>
      </w:tblPr>
      <w:tblGrid>
        <w:gridCol w:w="4680"/>
        <w:gridCol w:w="4680"/>
      </w:tblGrid>
      <w:tr>
        <w:tc>
          <w:tcPr>
            <w:tcW w:type="dxa" w:w="4680"/>
            <w:tcBorders>
              <w:top w:val="single" w:color="BEE6F2" w:sz="6"/>
              <w:left w:val="single" w:color="BEE6F2" w:sz="6"/>
              <w:bottom w:val="single" w:color="BEE6F2" w:sz="6"/>
              <w:right w:val="single" w:color="BEE6F2" w:sz="6"/>
            </w:tcBorders>
            <w:shd w:fill="EAF7FB" w:color="auto" w:val="clear"/>
            <w:tcMar>
              <w:top w:type="dxa" w:w="110"/>
              <w:left w:type="dxa" w:w="140"/>
              <w:bottom w:type="dxa" w:w="110"/>
              <w:right w:type="dxa" w:w="140"/>
            </w:tcMar>
          </w:tcPr>
          <w:p>
            <w:pPr>
              <w:spacing w:after="50" w:before="0" w:line="276"/>
            </w:pPr>
            <w:r>
              <w:rPr>
                <w:rFonts w:ascii="Calibri" w:cs="Calibri" w:eastAsia="Calibri" w:hAnsi="Calibri"/>
                <w:b/>
                <w:bCs/>
                <w:caps/>
                <w:color w:val="0E6E90"/>
                <w:sz w:val="16"/>
                <w:szCs w:val="16"/>
              </w:rPr>
              <w:t xml:space="preserve">🧭 New to this area?</w:t>
            </w:r>
          </w:p>
          <w:p>
            <w:pPr>
              <w:spacing w:after="0" w:before="0" w:line="276"/>
            </w:pPr>
            <w:r>
              <w:rPr>
                <w:rFonts w:ascii="Calibri" w:cs="Calibri" w:eastAsia="Calibri" w:hAnsi="Calibri"/>
                <w:color w:val="134A5E"/>
                <w:sz w:val="18"/>
                <w:szCs w:val="18"/>
              </w:rPr>
              <w:t xml:space="preserve">Their data-centre perimeter is a patchwork of vendors and an inherited rulebase. Most traffic is encrypted, so they're blind to a lot of it — and when something bad happens, the response is too slow.</w:t>
            </w:r>
          </w:p>
        </w:tc>
        <w:tc>
          <w:tcPr>
            <w:tcW w:type="dxa" w:w="4680"/>
            <w:tcBorders>
              <w:top w:val="single" w:color="D6CBF0" w:sz="6"/>
              <w:left w:val="single" w:color="D6CBF0" w:sz="6"/>
              <w:bottom w:val="single" w:color="D6CBF0" w:sz="6"/>
              <w:right w:val="single" w:color="D6CBF0" w:sz="6"/>
            </w:tcBorders>
            <w:shd w:fill="F1ECFA" w:color="auto" w:val="clear"/>
            <w:tcMar>
              <w:top w:type="dxa" w:w="110"/>
              <w:left w:type="dxa" w:w="140"/>
              <w:bottom w:type="dxa" w:w="110"/>
              <w:right w:type="dxa" w:w="140"/>
            </w:tcMar>
          </w:tcPr>
          <w:p>
            <w:pPr>
              <w:spacing w:after="50" w:before="0" w:line="276"/>
            </w:pPr>
            <w:r>
              <w:rPr>
                <w:rFonts w:ascii="Calibri" w:cs="Calibri" w:eastAsia="Calibri" w:hAnsi="Calibri"/>
                <w:b/>
                <w:bCs/>
                <w:caps/>
                <w:color w:val="5B3FBC"/>
                <w:sz w:val="16"/>
                <w:szCs w:val="16"/>
              </w:rPr>
              <w:t xml:space="preserve">🔐 For security specialists</w:t>
            </w:r>
          </w:p>
          <w:p>
            <w:pPr>
              <w:spacing w:after="0" w:before="0" w:line="276"/>
            </w:pPr>
            <w:r>
              <w:rPr>
                <w:rFonts w:ascii="Calibri" w:cs="Calibri" w:eastAsia="Calibri" w:hAnsi="Calibri"/>
                <w:color w:val="3E2E73"/>
                <w:sz w:val="18"/>
                <w:szCs w:val="18"/>
              </w:rPr>
              <w:t xml:space="preserve">ISE with pxGrid/ANC for rapid, automated quarantine; Encrypted Visibility Engine (EVE) for threat inference without decryption; Snort ML for unknown/zero-day exploits; Security Cloud Control / FMC for policy consolidation and cleanup.</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7"/>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ISE · Security Group Tags (pxGrid integration)</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 ISE integrates with your security ecosystem via pxGrid and Adaptive Network Control (ANC). When a threat is detected, ISE can automatically trigger a quarantine policy, isolating the compromised device in real-time without requiring manual intervention.</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It automates the "Response" phase of the incident lifecycle. By bridging the gap between detection and enforcement, it stops threats at the speed of the network.</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ISE and clearly gets the concern —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Cisco ISE integrates with your security ecosystem via pxGrid and Adaptive Network Control (ANC). When a threat is detected, ISE can automatically trigger a quarantine policy, isolating the compromised device in real-time without requiring manual intervention.</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 It automates the "Response" phase of the incident lifecycle. By bridging the gap between detection and enforcement, it stops threats at the speed of the network. — and positions it within the wider Hybrid Mesh Firewall design.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7"/>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 Security Cloud Control, FMC, FTD · Unified Policy Administration</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 applies AI-driven analysis to firewall telemetry and policy data to surface optimization opportunities, reduce manual troubleshooting, and guide cleaner policy administration.</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Reduces manual policy review; identifies redundant/stale rules; lowers risk from human error.</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Cisco Security Cloud Control and clearly gets the concern —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Cisco applies AI-driven analysis to firewall telemetry and policy data to surface optimization opportunities, reduce manual troubleshooting, and guide cleaner policy administration.</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 Reduces manual policy review; identifies redundant/stale rules; lowers risk from human error. — and positions it within the wider Hybrid Mesh Firewall design.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7"/>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 Secure Firewall (FTD), FMC, Security Cloud Control · EVE</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Encrypted Visibility Engine (EVE) uses AI/ML-based fingerprinting to analyze encrypted traffic patterns and identify suspicious behavior without decrypting the payload.</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Restores visibility into encrypted blind spots; avoids the performance/privacy overhead of decrypt-everything strategies.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Cisco Secure Firewall (FTD) and clearly gets the concern —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Encrypted Visibility Engine (EVE) uses AI/ML-based fingerprinting to analyze encrypted traffic patterns and identify suspicious behavior without decrypting the payload.</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 Restores visibility into encrypted blind spots; avoids the performance/privacy overhead of decrypt-everything strategies. — and positions it within the wider Hybrid Mesh Firewall design.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7"/>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 Secure Firewall (FTD), FMC, Security Cloud Control · Snort ML</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That's exactly where Snort ML helps. It adds machine-learning-based detection inside the Snort 3 engine to identify exploit behavior associated with unknown/zero-day threats.</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Addresses the gap between known and unknown threat detection; reduces dependence on signature timing.</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Cisco Secure Firewall (FTD) and clearly gets the concern —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That's exactly where Snort ML helps. It adds machine-learning-based detection inside the Snort 3 engine to identify exploit behavior associated with unknown/zero-day threats.</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 Addresses the gap between known and unknown threat detection; reduces dependence on signature timing. — and positions it within the wider Hybrid Mesh Firewall design.</w:t>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4 · reference</w:t>
      </w:r>
    </w:p>
    <w:p>
      <w:pPr>
        <w:spacing w:after="60" w:before="0" w:line="276"/>
      </w:pPr>
      <w:r>
        <w:rPr>
          <w:rFonts w:ascii="Calibri" w:cs="Calibri" w:eastAsia="Calibri" w:hAnsi="Calibri"/>
          <w:b/>
          <w:bCs/>
          <w:color w:val="0D274D"/>
          <w:sz w:val="42"/>
          <w:szCs w:val="42"/>
        </w:rPr>
        <w:t xml:space="preserve">Macro &amp; Micro Segmentation</w:t>
      </w:r>
    </w:p>
    <w:tbl>
      <w:tblPr>
        <w:tblW w:type="dxa" w:w="9360"/>
        <w:tblBorders>
          <w:top w:val="none" w:color="FFFFFF" w:sz="0"/>
          <w:left w:val="none" w:color="FFFFFF" w:sz="0"/>
          <w:bottom w:val="none" w:color="FFFFFF" w:sz="0"/>
          <w:right w:val="none" w:color="FFFFFF" w:sz="0"/>
          <w:insideH w:val="none" w:color="FFFFFF" w:sz="0"/>
          <w:insideV w:val="single" w:color="FFFFFF" w:sz="60"/>
        </w:tblBorders>
      </w:tblPr>
      <w:tblGrid>
        <w:gridCol w:w="4680"/>
        <w:gridCol w:w="4680"/>
      </w:tblGrid>
      <w:tr>
        <w:tc>
          <w:tcPr>
            <w:tcW w:type="dxa" w:w="4680"/>
            <w:tcBorders>
              <w:top w:val="single" w:color="BEE6F2" w:sz="6"/>
              <w:left w:val="single" w:color="BEE6F2" w:sz="6"/>
              <w:bottom w:val="single" w:color="BEE6F2" w:sz="6"/>
              <w:right w:val="single" w:color="BEE6F2" w:sz="6"/>
            </w:tcBorders>
            <w:shd w:fill="EAF7FB" w:color="auto" w:val="clear"/>
            <w:tcMar>
              <w:top w:type="dxa" w:w="110"/>
              <w:left w:type="dxa" w:w="140"/>
              <w:bottom w:type="dxa" w:w="110"/>
              <w:right w:type="dxa" w:w="140"/>
            </w:tcMar>
          </w:tcPr>
          <w:p>
            <w:pPr>
              <w:spacing w:after="50" w:before="0" w:line="276"/>
            </w:pPr>
            <w:r>
              <w:rPr>
                <w:rFonts w:ascii="Calibri" w:cs="Calibri" w:eastAsia="Calibri" w:hAnsi="Calibri"/>
                <w:b/>
                <w:bCs/>
                <w:caps/>
                <w:color w:val="0E6E90"/>
                <w:sz w:val="16"/>
                <w:szCs w:val="16"/>
              </w:rPr>
              <w:t xml:space="preserve">🧭 New to this area?</w:t>
            </w:r>
          </w:p>
          <w:p>
            <w:pPr>
              <w:spacing w:after="0" w:before="0" w:line="276"/>
            </w:pPr>
            <w:r>
              <w:rPr>
                <w:rFonts w:ascii="Calibri" w:cs="Calibri" w:eastAsia="Calibri" w:hAnsi="Calibri"/>
                <w:color w:val="134A5E"/>
                <w:sz w:val="18"/>
                <w:szCs w:val="18"/>
              </w:rPr>
              <w:t xml:space="preserve">The data centre is 'flat' — once an attacker is inside, they can roam. The Kubernetes estate is fragmented too. Cedarline needs segmentation they can actually adopt without breaking applications.</w:t>
            </w:r>
          </w:p>
        </w:tc>
        <w:tc>
          <w:tcPr>
            <w:tcW w:type="dxa" w:w="4680"/>
            <w:tcBorders>
              <w:top w:val="single" w:color="D6CBF0" w:sz="6"/>
              <w:left w:val="single" w:color="D6CBF0" w:sz="6"/>
              <w:bottom w:val="single" w:color="D6CBF0" w:sz="6"/>
              <w:right w:val="single" w:color="D6CBF0" w:sz="6"/>
            </w:tcBorders>
            <w:shd w:fill="F1ECFA" w:color="auto" w:val="clear"/>
            <w:tcMar>
              <w:top w:type="dxa" w:w="110"/>
              <w:left w:type="dxa" w:w="140"/>
              <w:bottom w:type="dxa" w:w="110"/>
              <w:right w:type="dxa" w:w="140"/>
            </w:tcMar>
          </w:tcPr>
          <w:p>
            <w:pPr>
              <w:spacing w:after="50" w:before="0" w:line="276"/>
            </w:pPr>
            <w:r>
              <w:rPr>
                <w:rFonts w:ascii="Calibri" w:cs="Calibri" w:eastAsia="Calibri" w:hAnsi="Calibri"/>
                <w:b/>
                <w:bCs/>
                <w:caps/>
                <w:color w:val="5B3FBC"/>
                <w:sz w:val="16"/>
                <w:szCs w:val="16"/>
              </w:rPr>
              <w:t xml:space="preserve">🔐 For security specialists</w:t>
            </w:r>
          </w:p>
          <w:p>
            <w:pPr>
              <w:spacing w:after="0" w:before="0" w:line="276"/>
            </w:pPr>
            <w:r>
              <w:rPr>
                <w:rFonts w:ascii="Calibri" w:cs="Calibri" w:eastAsia="Calibri" w:hAnsi="Calibri"/>
                <w:color w:val="3E2E73"/>
                <w:sz w:val="18"/>
                <w:szCs w:val="18"/>
              </w:rPr>
              <w:t xml:space="preserve">Cilium (eBPF) for Kubernetes networking and policy; Tetragon for eBPF runtime security and detection; Cisco Secure Workload for application-dependency mapping so micro-segmentation is designed from real traffic before it is enforced.</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7"/>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Isovalent · Tetragon Runtime Security</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That's where Tetragon comes in. Tetragon extends the value of Cilium by providing eBPF-based runtime security and threat detection. It monitors system-level activity and network behavior in real time, so you can detect suspicious actions, investigate runtime events, and enforce security policy closer to the workload. In other words, Cilium helps control connectivity and segmentation, while Tetragon helps you understand and secure runtime behavior.</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Adds runtime visibility beyond basic network controls Detects suspicious system and network behavior in real time Strengthens Kubernetes security with deeper workload-level insight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Isovalent and clearly gets the concern —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That's where Tetragon comes in. Tetragon extends the value of Cilium by providing eBPF-based runtime security and threat detection.</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 Adds runtime visibility beyond basic network controls Detects suspicious system and network behavior in real time Strengthens Kubernetes security with deeper workload-level insight. — and positions it within the wider Hybrid Mesh Firewall design.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7"/>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 · Cilium Networking Policies</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That's exactly where Isovalent Cilium helps. Cilium provides a modern, eBPF-based Kubernetes networking layer that gives you consistent connectivity, policy enforcement, and visibility across clusters and environments. Instead of relying on older, IP-centric approaches that struggle in dynamic Kubernetes environments, Cilium enables more scalable and identity-aware networking designed for cloud-native workloads.</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Replaces brittle, IP-centric networking models with a Kubernetes-native approach Improves consistency across dynamic cluster environments Reduces operational complexity with a more unified networking and policy layer</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the fitting Cisco solution and clearly gets the concern —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That's exactly where Isovalent Cilium helps. Cilium provides a modern, eBPF-based Kubernetes networking layer that gives you consistent connectivity, policy enforcement, and visibility across clusters and environments.</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 Replaces brittle, IP-centric networking models with a Kubernetes-native approach Improves consistency across dynamic cluster environments Reduces operational complexity with a more unified networking and policy layer. — and positions it within the wider Hybrid Mesh Firewall design.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7"/>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cilium and tetragon</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That's exactly the consolidation opportunity Isovalent addresses. With Cilium for networking and policy, and Tetragon for runtime security, you get a more unified platform for connectivity, segmentation, observability, and security. This helps reduce tool sprawl and gives platform and security teams a more integrated operating model.</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Consolidates multiple functions into one platform approach Reduces tool sprawl and operational friction Improves context sharing between networking, security, and operations teams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cilium and tetragon and clearly gets the concern —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That's exactly the consolidation opportunity Isovalent addresses. With Cilium for networking and policy, and Tetragon for runtime security, you get a more unified platform for connectivity, segmentation, observability, and security.</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 Consolidates multiple functions into one platform approach Reduces tool sprawl and operational friction Improves context sharing between networking, security, and operations teams. — and positions it within the wider Hybrid Mesh Firewall design.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7"/>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 Secure Workload
Cisco Secure Firewall · Application dependency mapping</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That's one of the biggest reasons customers adopt Cisco Secure Workload. It gives you deep visibility into workload communication and application dependency mapping, so you can see how applications actually behave before enforcing policy. That visibility helps you build segmentation policy with much more confidence, reduce guesswork, and move toward microsegmentation in a controlled way.</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7"/>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Reveals actual application communication paths Reduces the risk of segmentation causing outages Enables more precise policy design and staged enforcement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Cisco Secure Workload Cisco Secure Firewall and clearly gets the concern —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That's one of the biggest reasons customers adopt Cisco Secure Workload. It gives you deep visibility into workload communication and application dependency mapping, so you can see how applications actually behave before enforcing policy.</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 Reveals actual application communication paths Reduces the risk of segmentation causing outages Enables more precise policy design and staged enforcement. — and positions it within the wider Hybrid Mesh Firewall design.</w:t>
            </w:r>
          </w:p>
        </w:tc>
      </w:tr>
    </w:tbl>
    <w:p>
      <w:pPr>
        <w:spacing w:after="160"/>
      </w:pPr>
      <w:r>
        <w:rPr>
          <w:rFonts w:ascii="Calibri" w:cs="Calibri" w:eastAsia="Calibri" w:hAnsi="Calibri"/>
          <w:color w:val="14263A"/>
          <w:sz w:val="2"/>
          <w:szCs w:val="2"/>
        </w:rP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2026-08-03T10:49:41.216Z</dcterms:created>
  <dcterms:modified xsi:type="dcterms:W3CDTF">2026-08-03T10:49:41.216Z</dcterms:modified>
</cp:coreProperties>
</file>

<file path=docProps/custom.xml><?xml version="1.0" encoding="utf-8"?>
<Properties xmlns="http://schemas.openxmlformats.org/officeDocument/2006/custom-properties" xmlns:vt="http://schemas.openxmlformats.org/officeDocument/2006/docPropsVTypes"/>
</file>