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aps/>
          <w:color w:val="036C8F"/>
          <w:sz w:val="16"/>
          <w:szCs w:val="16"/>
        </w:rPr>
        <w:t xml:space="preserve">Cisco Secure · HMF Design Clinic</w:t>
      </w:r>
    </w:p>
    <w:p>
      <w:pPr>
        <w:spacing w:after="60" w:before="0" w:line="276"/>
      </w:pPr>
      <w:r>
        <w:rPr>
          <w:rFonts w:ascii="Calibri" w:cs="Calibri" w:eastAsia="Calibri" w:hAnsi="Calibri"/>
          <w:b/>
          <w:bCs/>
          <w:color w:val="0D274D"/>
          <w:sz w:val="42"/>
          <w:szCs w:val="42"/>
        </w:rPr>
        <w:t xml:space="preserve">Product Glossary</w:t>
      </w:r>
    </w:p>
    <w:p>
      <w:pPr>
        <w:spacing w:after="140" w:before="0" w:line="276"/>
      </w:pPr>
      <w:r>
        <w:rPr>
          <w:rFonts w:ascii="Calibri" w:cs="Calibri" w:eastAsia="Calibri" w:hAnsi="Calibri"/>
          <w:color w:val="3A4C63"/>
          <w:sz w:val="24"/>
          <w:szCs w:val="24"/>
        </w:rPr>
        <w:t xml:space="preserve">The Cisco products, capabilities and terms used in the clinic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6F2" w:sz="6"/>
              <w:left w:val="single" w:color="BEE6F2" w:sz="34"/>
              <w:bottom w:val="single" w:color="BEE6F2" w:sz="6"/>
              <w:right w:val="single" w:color="BEE6F2" w:sz="6"/>
            </w:tcBorders>
            <w:shd w:fill="EAF7FB" w:color="auto" w:val="clear"/>
            <w:tcMar>
              <w:top w:type="dxa" w:w="110"/>
              <w:left w:type="dxa" w:w="160"/>
              <w:bottom w:type="dxa" w:w="110"/>
              <w:right w:type="dxa" w:w="160"/>
            </w:tcMar>
            <w:vAlign w:val="top"/>
          </w:tcPr>
          <w:p>
            <w:pPr>
              <w:spacing w:after="0" w:before="0" w:line="276"/>
            </w:pPr>
            <w:r>
              <w:rPr>
                <w:rFonts w:ascii="Calibri" w:cs="Calibri" w:eastAsia="Calibri" w:hAnsi="Calibri"/>
                <w:color w:val="22415C"/>
                <w:sz w:val="21"/>
                <w:szCs w:val="21"/>
              </w:rPr>
              <w:t xml:space="preserve">A quick reference to every Cisco Secure product and capability that appears in the four case studies, plus the architecture that ties them together. Use it to recognise what each product does. Which product fits which concern is for teams to decide.</w:t>
            </w:r>
          </w:p>
        </w:tc>
      </w:tr>
    </w:tbl>
    <w:p>
      <w:pPr>
        <w:spacing w:after="80" w:before="180" w:line="276"/>
      </w:pPr>
      <w:r>
        <w:rPr>
          <w:rFonts w:ascii="Calibri" w:cs="Calibri" w:eastAsia="Calibri" w:hAnsi="Calibri"/>
          <w:b/>
          <w:bCs/>
          <w:color w:val="0D274D"/>
          <w:sz w:val="30"/>
          <w:szCs w:val="30"/>
        </w:rPr>
        <w:t xml:space="preserve">Platforms and products</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none" w:color="FFFFFF" w:sz="0"/>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AI Defense</w:t>
            </w:r>
          </w:p>
        </w:tc>
        <w:tc>
          <w:tcPr>
            <w:tcW w:type="dxa" w:w="6365"/>
            <w:tcBorders>
              <w:top w:val="none" w:color="FFFFFF" w:sz="0"/>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Secures AI applications and models across build and runtime. It validates models and applications, scans the AI supply chain (models, repositories and MCP servers), discovers AI assets across the cloud, and applies runtime guardrails to prompt and response traffic.</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Multicloud Defense</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One security policy plane across public clouds. It provides consistent segmentation, egress control, traffic visibility and policy enforcement across AWS, Azure and GCP, and integrates with AI Defense for cloud runtime enforcement.</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Secure Firewall (FTD)</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Cisco's next-generation firewall, Firewall Threat Defense. It delivers perimeter and data-centre enforcement with intrusion prevention, application control and advanced threat detection.</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Secure Firewall Management Center (FMC)</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The centralised manager for the Secure Firewall estate, handling policy, logging and reporting across firewalls.</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Security Cloud Control</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Cloud-delivered management across the firewall and security estate, for unified policy administration and rule cleanup at scale.</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Secure Workload</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Application-dependency mapping and micro-segmentation. It reveals how workloads actually communicate, then drives safe segmentation policy before it is enforced.</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Identity Services Engine (ISE)</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Network identity and access control. It knows who and what is on the network and enables rapid, automated quarantine of compromised devices.</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Hypershield</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AI-native, highly distributed security enforcement. It provides autonomous, in-kernel (eBPF) segmentation and protection for workloads at scale.</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Isovalent Cilium</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eBPF-based Kubernetes networking and policy, giving consistent connectivity and policy enforcement across clusters and environments.</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Isovalent Tetragon</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eBPF-based runtime security for workloads, detecting suspicious system and network behaviour in real time.</w:t>
            </w:r>
          </w:p>
        </w:tc>
      </w:tr>
    </w:tbl>
    <w:p>
      <w:pPr>
        <w:spacing w:after="80" w:before="180" w:line="276"/>
      </w:pPr>
      <w:r>
        <w:rPr>
          <w:rFonts w:ascii="Calibri" w:cs="Calibri" w:eastAsia="Calibri" w:hAnsi="Calibri"/>
          <w:b/>
          <w:bCs/>
          <w:color w:val="0D274D"/>
          <w:sz w:val="30"/>
          <w:szCs w:val="30"/>
        </w:rPr>
        <w:t xml:space="preserve">Key capabilities and features</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none" w:color="FFFFFF" w:sz="0"/>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Encrypted Visibility Engine (EVE)</w:t>
            </w:r>
          </w:p>
        </w:tc>
        <w:tc>
          <w:tcPr>
            <w:tcW w:type="dxa" w:w="6365"/>
            <w:tcBorders>
              <w:top w:val="none" w:color="FFFFFF" w:sz="0"/>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A Secure Firewall capability that infers threats from encrypted traffic patterns without decrypting the payload.</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Snort ML</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A Secure Firewall capability that adds machine-learning detection inside the Snort 3 engine to catch unknown and zero-day exploits.</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pxGrid</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An ISE capability: a context-sharing fabric so security tools can act on identity, for example triggering an automatic quarantine.</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Adaptive Network Control (ANC)</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An ISE capability that quarantines or restricts a device in real time when a threat is detected.</w:t>
            </w:r>
          </w:p>
        </w:tc>
      </w:tr>
      <w:tr>
        <w:tc>
          <w:tcPr>
            <w:tcW w:type="dxa" w:w="2995"/>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Security Group Tags (SGT)</w:t>
            </w:r>
          </w:p>
        </w:tc>
        <w:tc>
          <w:tcPr>
            <w:tcW w:type="dxa" w:w="6365"/>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Group-based policy tags (Cisco TrustSec) that enable scalable, identity-aware segmentation.</w:t>
            </w:r>
          </w:p>
        </w:tc>
      </w:tr>
    </w:tbl>
    <w:p>
      <w:pPr>
        <w:spacing w:after="80" w:before="180" w:line="276"/>
      </w:pPr>
      <w:r>
        <w:rPr>
          <w:rFonts w:ascii="Calibri" w:cs="Calibri" w:eastAsia="Calibri" w:hAnsi="Calibri"/>
          <w:b/>
          <w:bCs/>
          <w:color w:val="0D274D"/>
          <w:sz w:val="30"/>
          <w:szCs w:val="30"/>
        </w:rPr>
        <w:t xml:space="preserve">Architecture</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995"/>
        <w:gridCol w:w="6365"/>
      </w:tblGrid>
      <w:tr>
        <w:tc>
          <w:tcPr>
            <w:tcW w:type="dxa" w:w="2995"/>
            <w:tcBorders>
              <w:top w:val="none" w:color="FFFFFF" w:sz="0"/>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Hybrid Mesh Firewall (HMF)</w:t>
            </w:r>
          </w:p>
        </w:tc>
        <w:tc>
          <w:tcPr>
            <w:tcW w:type="dxa" w:w="6365"/>
            <w:tcBorders>
              <w:top w:val="none" w:color="FFFFFF" w:sz="0"/>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Cisco's approach to consistent security enforcement across firewalls, cloud gateways, workloads and Kubernetes, all managed centrally.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2026-08-03T19:12:32.339Z</dcterms:created>
  <dcterms:modified xsi:type="dcterms:W3CDTF">2026-08-03T19:12:32.339Z</dcterms:modified>
</cp:coreProperties>
</file>

<file path=docProps/custom.xml><?xml version="1.0" encoding="utf-8"?>
<Properties xmlns="http://schemas.openxmlformats.org/officeDocument/2006/custom-properties" xmlns:vt="http://schemas.openxmlformats.org/officeDocument/2006/docPropsVTypes"/>
</file>