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AI Defense (AI Model and Application Validation)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AI Defense (Supply Chain Risk Management)</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 (Ai Cloud Visibility)</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AI Defense, AI visibility and guardrail integration. Multicloud Defense, cloud account connection, traffic visibility, policy attachment, and egress enforcement (AI Runtime Protection)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AI Defense-Multicloud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Multicloud Defense (Multicloud Defense Gateways)</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Multicloud Defense (Multicloud Defense Visibility)</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Multicloud Defense (Unified Security across public clouds)</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Cisco Secure Firewall. Cisco Secure Firewall Management Center (FMC). Cisco Security Cloud Control (Secure Workload Integration with Secure Firewall Management Center)</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ISE (Security Group Tags (pxGrid integration))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FMC, FTD (Unified Policy Administration)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(FTD), FMC, Security Cloud Control (EVE)</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(FTD), FMC, Security Cloud Control (Snort ML)</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Runtime Security)</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the fitting Cisco solution (Cilium Networking Policies)</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cilium and tetragon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Cisco Secure Firewall (Application dependency mapping)</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2026-08-03T19:12:32.314Z</dcterms:created>
  <dcterms:modified xsi:type="dcterms:W3CDTF">2026-08-03T19:12:32.314Z</dcterms:modified>
</cp:coreProperties>
</file>

<file path=docProps/custom.xml><?xml version="1.0" encoding="utf-8"?>
<Properties xmlns="http://schemas.openxmlformats.org/officeDocument/2006/custom-properties" xmlns:vt="http://schemas.openxmlformats.org/officeDocument/2006/docPropsVTypes"/>
</file>