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HMF Design Clinic</w:t>
      </w:r>
    </w:p>
    <w:p>
      <w:pPr>
        <w:spacing w:after="60" w:before="0" w:line="276"/>
      </w:pPr>
      <w:r>
        <w:rPr>
          <w:rFonts w:ascii="Calibri" w:cs="Calibri" w:eastAsia="Calibri" w:hAnsi="Calibri"/>
          <w:b/>
          <w:bCs/>
          <w:color w:val="0D274D"/>
          <w:sz w:val="42"/>
          <w:szCs w:val="42"/>
        </w:rPr>
        <w:t xml:space="preserve">Team Workbook</w:t>
      </w:r>
    </w:p>
    <w:p>
      <w:pPr>
        <w:spacing w:after="140" w:before="0" w:line="276"/>
      </w:pPr>
      <w:r>
        <w:rPr>
          <w:rFonts w:ascii="Calibri" w:cs="Calibri" w:eastAsia="Calibri" w:hAnsi="Calibri"/>
          <w:color w:val="3A4C63"/>
          <w:sz w:val="24"/>
          <w:szCs w:val="24"/>
        </w:rPr>
        <w:t xml:space="preserve">Cedarline Health Group, a Hybrid Mesh Firewall design 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color w:val="22415C"/>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120"/>
      </w:pPr>
      <w:r>
        <w:rPr>
          <w:rFonts w:ascii="Calibri" w:cs="Calibri" w:eastAsia="Calibri" w:hAnsi="Calibri"/>
          <w:color w:val="14263A"/>
          <w:sz w:val="2"/>
          <w:szCs w:val="2"/>
        </w:rPr>
        <w:t xml:space="preserve"/>
      </w:r>
    </w:p>
    <w:p>
      <w:pPr>
        <w:spacing w:after="0" w:before="0" w:line="276"/>
      </w:pPr>
      <w:r>
        <w:rPr>
          <w:rFonts w:ascii="Calibri" w:cs="Calibri" w:eastAsia="Calibri" w:hAnsi="Calibri"/>
          <w:b/>
          <w:bCs/>
          <w:color w:val="0D274D"/>
          <w:sz w:val="21"/>
          <w:szCs w:val="21"/>
        </w:rPr>
        <w:t xml:space="preserve">Team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Members (up to 8) </w:t>
      </w:r>
      <w:r>
        <w:rPr>
          <w:rFonts w:ascii="Calibri" w:cs="Calibri" w:eastAsia="Calibri" w:hAnsi="Calibri"/>
          <w:color w:val="8091A4"/>
          <w:sz w:val="21"/>
          <w:szCs w:val="21"/>
        </w:rPr>
        <w:t xml:space="preserve">____________________     </w:t>
      </w:r>
      <w:r>
        <w:rPr>
          <w:rFonts w:ascii="Calibri" w:cs="Calibri" w:eastAsia="Calibri" w:hAnsi="Calibri"/>
          <w:b/>
          <w:bCs/>
          <w:color w:val="0D274D"/>
          <w:sz w:val="21"/>
          <w:szCs w:val="21"/>
        </w:rPr>
        <w:t xml:space="preserve">Date </w:t>
      </w:r>
      <w:r>
        <w:rPr>
          <w:rFonts w:ascii="Calibri" w:cs="Calibri" w:eastAsia="Calibri" w:hAnsi="Calibri"/>
          <w:color w:val="8091A4"/>
          <w:sz w:val="21"/>
          <w:szCs w:val="21"/>
        </w:rPr>
        <w:t xml:space="preserve">__________</w:t>
      </w:r>
    </w:p>
    <w:p>
      <w:pPr>
        <w:pageBreakBefore/>
        <w:spacing w:after="0" w:before="0" w:line="276"/>
      </w:pPr>
    </w:p>
    <w:p>
      <w:pPr>
        <w:spacing w:after="40" w:before="0" w:line="276"/>
      </w:pPr>
      <w:r>
        <w:rPr>
          <w:rFonts w:ascii="Calibri" w:cs="Calibri" w:eastAsia="Calibri" w:hAnsi="Calibri"/>
          <w:b/>
          <w:bCs/>
          <w:caps/>
          <w:color w:val="036C8F"/>
          <w:sz w:val="16"/>
          <w:szCs w:val="16"/>
        </w:rPr>
        <w:t xml:space="preserve">Start here</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What you will walk away able to do</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How your answers are assessed</w:t>
      </w:r>
    </w:p>
    <w:p>
      <w:pPr>
        <w:spacing w:after="100" w:before="0" w:line="276"/>
      </w:pPr>
      <w:r>
        <w:rPr>
          <w:rFonts w:ascii="Calibri" w:cs="Calibri" w:eastAsia="Calibri" w:hAnsi="Calibri"/>
          <w:color w:val="3A4C63"/>
          <w:sz w:val="21"/>
          <w:szCs w:val="21"/>
        </w:rPr>
        <w:t xml:space="preserve">Each case study is scored across its four pain points, giving a case study score and an overall score for the clinic. Alongside the score, your answers are assessed on three dimensions.</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two-part answer.  </w:t>
            </w:r>
            <w:r>
              <w:rPr>
                <w:rFonts w:ascii="Calibri" w:cs="Calibri" w:eastAsia="Calibri" w:hAnsi="Calibri"/>
                <w:color w:val="33465F"/>
                <w:sz w:val="20"/>
                <w:szCs w:val="20"/>
              </w:rPr>
              <w:t xml:space="preserve">For every customer concern you will write a Product / platform and a Solution Engineer response that covers how it addresses the concern and the outcome it delivers. Identify the problem, design the right solution, and communicate the value.</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Your toolkit</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Cisco Secure portfolio, at a glance</w:t>
      </w:r>
    </w:p>
    <w:p>
      <w:pPr>
        <w:spacing w:after="100" w:before="0" w:line="276"/>
      </w:pPr>
      <w:r>
        <w:rPr>
          <w:rFonts w:ascii="Calibri" w:cs="Calibri" w:eastAsia="Calibri" w:hAnsi="Calibri"/>
          <w:color w:val="3A4C63"/>
          <w:sz w:val="21"/>
          <w:szCs w:val="21"/>
        </w:rPr>
        <w:t xml:space="preserve">A quick decoder of the products in play. Which product fits which concern is for you to decide.</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AI Defense</w:t>
            </w:r>
          </w:p>
        </w:tc>
        <w:tc>
          <w:tcPr>
            <w:tcW w:type="dxa" w:w="6365"/>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Protects AI apps and models with validation, runtime guardrails, supply-chain scanning, and AI visibility across clouds.</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Multicloud Defense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Gives one security policy plane across AWS, Azure and GCP, with segmentation, egress control, and unified visibility.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Firewall (FTD) + FMC</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next-generation firewall and its manager, the Firewall Management Center.</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Security Cloud Control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Cloud-delivered management across the whole firewall estate.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Secure Workload</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Maps how applications actually talk, then drives safe micro-segmentation.</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Cisco ISE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The Identity Services Engine that knows who and what is on the network and can quarantine fast.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Cilium</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Kubernetes networking and policy.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Isovalent Tetragon</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eBPF-based runtime security and threat detection for workloads.</w:t>
            </w:r>
          </w:p>
        </w:tc>
      </w:tr>
    </w:tbl>
    <w:p>
      <w:pPr>
        <w:spacing w:after="80" w:before="180" w:line="276"/>
      </w:pPr>
      <w:r>
        <w:rPr>
          <w:rFonts w:ascii="Calibri" w:cs="Calibri" w:eastAsia="Calibri" w:hAnsi="Calibri"/>
          <w:b/>
          <w:bCs/>
          <w:color w:val="0D274D"/>
          <w:sz w:val="30"/>
          <w:szCs w:val="30"/>
        </w:rPr>
        <w:t xml:space="preserve">Decode the jargon</w:t>
      </w:r>
    </w:p>
    <w:p>
      <w:pPr>
        <w:spacing w:after="100" w:before="0" w:line="276"/>
      </w:pPr>
      <w:r>
        <w:rPr>
          <w:rFonts w:ascii="Calibri" w:cs="Calibri" w:eastAsia="Calibri" w:hAnsi="Calibri"/>
          <w:color w:val="3A4C63"/>
          <w:sz w:val="21"/>
          <w:szCs w:val="21"/>
        </w:rPr>
        <w:t xml:space="preserve">The terms you will hear Cedarline use, in plain English.</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none" w:color="FFFFFF" w:sz="0"/>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EU AI Act, Article 15</w:t>
            </w:r>
          </w:p>
        </w:tc>
        <w:tc>
          <w:tcPr>
            <w:tcW w:type="dxa" w:w="6365"/>
            <w:tcBorders>
              <w:top w:val="none" w:color="FFFFFF" w:sz="0"/>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EU law classifying AI by risk. A 'Provider' must prove robustness and cybersecurity.</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MCP (Model Context Protocol)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How AI agents connect to tools and data, creating a new supply-chain surface to secure.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East-west traffic</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Traffic between workloads inside the data centre, as opposed to north-south, which flows in and out.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Lateral movement</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An attacker hopping from one compromised system to others on the inside.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Micro-segmentation</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Fine-grained isolation of individual workloads so a breach cannot spread.</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eBPF</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Linux kernel technology used to observe and enforce networking and security with low overhead.</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EVE (Encrypted Visibility Engine)</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Infers threats from encrypted traffic patterns without decrypting it.</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Snort ML</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Machine-learning detection inside the Snort engine for unknown and zero-day exploits.</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pxGrid</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Cisco's context-sharing fabric so tools can act on identity, for example an automatic quarantine via ISE.</w:t>
            </w:r>
          </w:p>
        </w:tc>
      </w:tr>
      <w:tr>
        <w:tc>
          <w:tcPr>
            <w:tcW w:type="dxa" w:w="2995"/>
            <w:tcBorders>
              <w:top w:val="single" w:color="E4EBF3" w:sz="4"/>
              <w:left w:val="none" w:color="FFFFFF" w:sz="0"/>
              <w:bottom w:val="none" w:color="FFFFFF" w:sz="0"/>
              <w:right w:val="none" w:color="FFFFFF" w:sz="0"/>
            </w:tcBorders>
            <w:tcMar>
              <w:top w:type="dxa" w:w="70"/>
              <w:left w:type="dxa" w:w="150"/>
              <w:bottom w:type="dxa" w:w="70"/>
              <w:right w:type="dxa" w:w="120"/>
            </w:tcMar>
          </w:tcPr>
          <w:p>
            <w:pPr>
              <w:spacing w:after="0" w:before="0" w:line="276"/>
            </w:pPr>
            <w:r>
              <w:rPr>
                <w:rFonts w:ascii="Calibri" w:cs="Calibri" w:eastAsia="Calibri" w:hAnsi="Calibri"/>
                <w:b/>
                <w:bCs/>
                <w:color w:val="0D274D"/>
                <w:sz w:val="18"/>
                <w:szCs w:val="18"/>
              </w:rPr>
              <w:t xml:space="preserve">Hybrid Mesh Firewall (HMF)</w:t>
            </w:r>
          </w:p>
        </w:tc>
        <w:tc>
          <w:tcPr>
            <w:tcW w:type="dxa" w:w="6365"/>
            <w:tcBorders>
              <w:top w:val="single" w:color="E4EBF3" w:sz="4"/>
              <w:left w:val="none" w:color="FFFFFF" w:sz="0"/>
              <w:bottom w:val="none" w:color="FFFFFF" w:sz="0"/>
              <w:right w:val="none" w:color="FFFFFF" w:sz="0"/>
            </w:tcBorders>
            <w:tcMar>
              <w:top w:type="dxa" w:w="70"/>
              <w:left w:type="dxa" w:w="140"/>
              <w:bottom w:type="dxa" w:w="70"/>
              <w:right w:type="dxa" w:w="140"/>
            </w:tcMar>
          </w:tcPr>
          <w:p>
            <w:pPr>
              <w:spacing w:after="0" w:before="0" w:line="276"/>
            </w:pPr>
            <w:r>
              <w:rPr>
                <w:rFonts w:ascii="Calibri" w:cs="Calibri" w:eastAsia="Calibri" w:hAnsi="Calibri"/>
                <w:color w:val="2A3C52"/>
                <w:sz w:val="18"/>
                <w:szCs w:val="18"/>
              </w:rPr>
              <w:t xml:space="preserve">Consistent security enforcement across firewalls, cloud gateways, workloads and Kubernetes, managed centrally.</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Case Study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before="110" w:line="276"/>
      </w:pPr>
      <w:r>
        <w:rPr>
          <w:rFonts w:ascii="Calibri" w:cs="Calibri" w:eastAsia="Calibri" w:hAnsi="Calibri"/>
          <w:b/>
          <w:bCs/>
          <w:caps/>
          <w:color w:val="036C8F"/>
          <w:sz w:val="16"/>
          <w:szCs w:val="16"/>
        </w:rPr>
        <w:t xml:space="preserve">Product /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39"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50" w:before="110" w:line="276"/>
      </w:pPr>
      <w:r>
        <w:rPr>
          <w:rFonts w:ascii="Calibri" w:cs="Calibri" w:eastAsia="Calibri" w:hAnsi="Calibri"/>
          <w:b/>
          <w:bCs/>
          <w:caps/>
          <w:color w:val="036C8F"/>
          <w:sz w:val="16"/>
          <w:szCs w:val="16"/>
        </w:rPr>
        <w:t xml:space="preserve">Solution Engineer response: how it addresses the concern and 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2381" w:hRule="atLeast"/>
        </w:trPr>
        <w:tc>
          <w:tcPr>
            <w:tcW w:type="dxa" w:w="9360"/>
            <w:tcBorders>
              <w:top w:val="single" w:color="C4D2E2" w:sz="6"/>
              <w:left w:val="single" w:color="C4D2E2" w:sz="6"/>
              <w:bottom w:val="single" w:color="C4D2E2" w:sz="6"/>
              <w:right w:val="single" w:color="C4D2E2" w:sz="6"/>
            </w:tcBorders>
            <w:tcMar>
              <w:top w:type="dxa" w:w="110"/>
              <w:left w:type="dxa" w:w="160"/>
              <w:bottom w:type="dxa" w:w="110"/>
              <w:right w:type="dxa" w:w="160"/>
            </w:tcMar>
            <w:vAlign w:val="top"/>
          </w:tcPr>
          <w:p>
            <w:pPr>
              <w:spacing w:after="0" w:before="0" w:line="276"/>
            </w:pPr>
            <w:r>
              <w:rPr>
                <w:rFonts w:ascii="Calibri" w:cs="Calibri" w:eastAsia="Calibri" w:hAnsi="Calibri"/>
                <w:color w:val="14263A"/>
                <w:sz w:val="2"/>
                <w:szCs w:val="2"/>
              </w:rPr>
              <w:t xml:space="preserve"/>
            </w:r>
          </w:p>
        </w:tc>
      </w:tr>
    </w:tbl>
    <w:p>
      <w:pPr>
        <w:spacing w:after="4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1E8F1" w:sz="6"/>
              <w:left w:val="single" w:color="E1E8F1" w:sz="6"/>
              <w:bottom w:val="single" w:color="E1E8F1" w:sz="6"/>
              <w:right w:val="single" w:color="E1E8F1" w:sz="6"/>
            </w:tcBorders>
            <w:shd w:fill="F7FAFC"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16"/>
                <w:szCs w:val="16"/>
              </w:rPr>
              <w:t xml:space="preserve">Assessed on three dimensions. </w:t>
            </w:r>
            <w:r>
              <w:rPr>
                <w:rFonts w:ascii="Calibri" w:cs="Calibri" w:eastAsia="Calibri" w:hAnsi="Calibri"/>
                <w:b/>
                <w:bCs/>
                <w:color w:val="4A3AA8"/>
                <w:sz w:val="16"/>
                <w:szCs w:val="16"/>
              </w:rPr>
              <w:t xml:space="preserve">Problem Identifier</w:t>
            </w:r>
            <w:r>
              <w:rPr>
                <w:rFonts w:ascii="Calibri" w:cs="Calibri" w:eastAsia="Calibri" w:hAnsi="Calibri"/>
                <w:color w:val="5A6E86"/>
                <w:sz w:val="16"/>
                <w:szCs w:val="16"/>
              </w:rPr>
              <w:t xml:space="preserve">: identify the pain point and its requirements. </w:t>
            </w:r>
            <w:r>
              <w:rPr>
                <w:rFonts w:ascii="Calibri" w:cs="Calibri" w:eastAsia="Calibri" w:hAnsi="Calibri"/>
                <w:b/>
                <w:bCs/>
                <w:color w:val="0B6670"/>
                <w:sz w:val="16"/>
                <w:szCs w:val="16"/>
              </w:rPr>
              <w:t xml:space="preserve">Solution Designer</w:t>
            </w:r>
            <w:r>
              <w:rPr>
                <w:rFonts w:ascii="Calibri" w:cs="Calibri" w:eastAsia="Calibri" w:hAnsi="Calibri"/>
                <w:color w:val="5A6E86"/>
                <w:sz w:val="16"/>
                <w:szCs w:val="16"/>
              </w:rPr>
              <w:t xml:space="preserve">: recommend the right Cisco solution, architecture and approach. </w:t>
            </w:r>
            <w:r>
              <w:rPr>
                <w:rFonts w:ascii="Calibri" w:cs="Calibri" w:eastAsia="Calibri" w:hAnsi="Calibri"/>
                <w:b/>
                <w:bCs/>
                <w:color w:val="9A6516"/>
                <w:sz w:val="16"/>
                <w:szCs w:val="16"/>
              </w:rPr>
              <w:t xml:space="preserve">Value Communicator</w:t>
            </w:r>
            <w:r>
              <w:rPr>
                <w:rFonts w:ascii="Calibri" w:cs="Calibri" w:eastAsia="Calibri" w:hAnsi="Calibri"/>
                <w:color w:val="5A6E86"/>
                <w:sz w:val="16"/>
                <w:szCs w:val="16"/>
              </w:rPr>
              <w:t xml:space="preserve">: explain how it works and the outcome it enables.</w:t>
            </w:r>
          </w:p>
        </w:tc>
      </w:tr>
    </w:tbl>
    <w:p>
      <w:pPr>
        <w:spacing w:after="160"/>
      </w:pPr>
      <w:r>
        <w:rPr>
          <w:rFonts w:ascii="Calibri" w:cs="Calibri" w:eastAsia="Calibri" w:hAnsi="Calibri"/>
          <w:color w:val="14263A"/>
          <w:sz w:val="2"/>
          <w:szCs w:val="2"/>
        </w:rPr>
        <w:t xml:space="preserve"/>
      </w:r>
    </w:p>
    <w:p>
      <w:pPr>
        <w:pageBreakBefore/>
        <w:spacing w:after="0" w:before="0" w:line="276"/>
      </w:pPr>
    </w:p>
    <w:p>
      <w:pPr>
        <w:spacing w:after="40" w:before="0" w:line="276"/>
      </w:pPr>
      <w:r>
        <w:rPr>
          <w:rFonts w:ascii="Calibri" w:cs="Calibri" w:eastAsia="Calibri" w:hAnsi="Calibri"/>
          <w:b/>
          <w:bCs/>
          <w:caps/>
          <w:color w:val="036C8F"/>
          <w:sz w:val="16"/>
          <w:szCs w:val="16"/>
        </w:rPr>
        <w:t xml:space="preserve">Bring it together</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Your Hybrid Mesh Firewall design</w:t>
      </w:r>
    </w:p>
    <w:p>
      <w:pPr>
        <w:spacing w:after="140" w:before="0" w:line="276"/>
      </w:pPr>
      <w:r>
        <w:rPr>
          <w:rFonts w:ascii="Calibri" w:cs="Calibri" w:eastAsia="Calibri" w:hAnsi="Calibri"/>
          <w:color w:val="3A4C63"/>
          <w:sz w:val="21"/>
          <w:szCs w:val="21"/>
        </w:rPr>
        <w:t xml:space="preserve">Four conversations, one story. Combine your case studies into a single HMF design and paste your team's topology below, then be ready to walk Cedarline through it like the trusted advisors you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8222" w:hRule="atLeast"/>
        </w:trPr>
        <w:tc>
          <w:tcPr>
            <w:tcW w:type="dxa" w:w="9360"/>
            <w:tcBorders>
              <w:top w:val="single" w:color="9FC9DD" w:sz="6"/>
              <w:left w:val="single" w:color="9FC9DD" w:sz="6"/>
              <w:bottom w:val="single" w:color="9FC9DD" w:sz="6"/>
              <w:right w:val="single" w:color="9FC9DD" w:sz="6"/>
            </w:tcBorders>
            <w:shd w:fill="F7FCFE" w:color="auto" w:val="clear"/>
            <w:tcMar>
              <w:top w:type="dxa" w:w="110"/>
              <w:left w:type="dxa" w:w="160"/>
              <w:bottom w:type="dxa" w:w="110"/>
              <w:right w:type="dxa" w:w="160"/>
            </w:tcMar>
            <w:vAlign w:val="center"/>
          </w:tcPr>
          <w:p>
            <w:pPr>
              <w:spacing w:after="60" w:before="0" w:line="276"/>
              <w:jc w:val="center"/>
            </w:pPr>
            <w:r>
              <w:rPr>
                <w:rFonts w:ascii="Calibri" w:cs="Calibri" w:eastAsia="Calibri" w:hAnsi="Calibri"/>
                <w:b/>
                <w:bCs/>
                <w:color w:val="0D274D"/>
                <w:sz w:val="26"/>
                <w:szCs w:val="26"/>
              </w:rPr>
              <w:t xml:space="preserve">Paste your team's topology diagram here</w:t>
            </w:r>
          </w:p>
          <w:p>
            <w:pPr>
              <w:spacing w:after="0" w:before="0" w:line="276"/>
              <w:jc w:val="center"/>
            </w:pPr>
            <w:r>
              <w:rPr>
                <w:rFonts w:ascii="Calibri" w:cs="Calibri" w:eastAsia="Calibri" w:hAnsi="Calibri"/>
                <w:color w:val="6B7D93"/>
                <w:sz w:val="20"/>
                <w:szCs w:val="20"/>
              </w:rPr>
              <w:t xml:space="preserve">Show how the four case studies connect across Cedarline's on-prem, data-centre and multicloud estate.</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2026-08-03T19:12:32.287Z</dcterms:created>
  <dcterms:modified xsi:type="dcterms:W3CDTF">2026-08-03T19:12:32.292Z</dcterms:modified>
</cp:coreProperties>
</file>

<file path=docProps/custom.xml><?xml version="1.0" encoding="utf-8"?>
<Properties xmlns="http://schemas.openxmlformats.org/officeDocument/2006/custom-properties" xmlns:vt="http://schemas.openxmlformats.org/officeDocument/2006/docPropsVTypes"/>
</file>