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pPr>
      <w:r>
        <w:rPr>
          <w:rFonts w:ascii="Calibri" w:cs="Calibri" w:eastAsia="Calibri" w:hAnsi="Calibri"/>
          <w:b/>
          <w:bCs/>
          <w:caps/>
          <w:color w:val="036C8F"/>
          <w:sz w:val="16"/>
          <w:szCs w:val="16"/>
        </w:rPr>
        <w:t xml:space="preserve">Cisco Secure · Facilitator resource</w:t>
      </w:r>
    </w:p>
    <w:p>
      <w:pPr>
        <w:spacing w:after="60" w:before="0" w:line="276"/>
      </w:pPr>
      <w:r>
        <w:rPr>
          <w:rFonts w:ascii="Calibri" w:cs="Calibri" w:eastAsia="Calibri" w:hAnsi="Calibri"/>
          <w:b/>
          <w:bCs/>
          <w:color w:val="0D274D"/>
          <w:sz w:val="42"/>
          <w:szCs w:val="42"/>
        </w:rPr>
        <w:t xml:space="preserve">HMF Design Clinic Activity Guide</w:t>
      </w:r>
    </w:p>
    <w:p>
      <w:pPr>
        <w:spacing w:after="60" w:before="0" w:line="276"/>
      </w:pPr>
      <w:r>
        <w:rPr>
          <w:rFonts w:ascii="Calibri" w:cs="Calibri" w:eastAsia="Calibri" w:hAnsi="Calibri"/>
          <w:color w:val="3A4C63"/>
          <w:sz w:val="22"/>
          <w:szCs w:val="22"/>
        </w:rPr>
        <w:t xml:space="preserve">Everything a facilitator needs to run the Cedarline HMF clinic, on one spread.</w:t>
      </w:r>
    </w:p>
    <w:p>
      <w:pPr>
        <w:pBdr>
          <w:bottom w:val="single" w:color="00BCEB" w:sz="18"/>
        </w:pBdr>
        <w:spacing w:after="120"/>
      </w:pPr>
      <w:r>
        <w:rPr>
          <w:rFonts w:ascii="Calibri" w:cs="Calibri" w:eastAsia="Calibri" w:hAnsi="Calibri"/>
          <w:color w:val="14263A"/>
          <w:sz w:val="2"/>
          <w:szCs w:val="2"/>
        </w:rPr>
        <w:t xml:space="preserve"/>
      </w:r>
    </w:p>
    <w:p>
      <w:pPr>
        <w:spacing w:after="80" w:before="180" w:line="276"/>
      </w:pPr>
      <w:r>
        <w:rPr>
          <w:rFonts w:ascii="Calibri" w:cs="Calibri" w:eastAsia="Calibri" w:hAnsi="Calibri"/>
          <w:b/>
          <w:bCs/>
          <w:color w:val="0D274D"/>
          <w:sz w:val="30"/>
          <w:szCs w:val="30"/>
        </w:rPr>
        <w:t xml:space="preserve">The mission</w:t>
      </w:r>
    </w:p>
    <w:p>
      <w:pPr>
        <w:spacing w:after="120" w:before="0" w:line="276"/>
      </w:pPr>
      <w:r>
        <w:rPr>
          <w:rFonts w:ascii="Calibri" w:cs="Calibri" w:eastAsia="Calibri" w:hAnsi="Calibri"/>
          <w:color w:val="33465F"/>
          <w:sz w:val="21"/>
          <w:szCs w:val="21"/>
        </w:rPr>
        <w:t xml:space="preserve">Today your team is the Cisco Solution Engineering team walking into Cedarline. You will sit with four real conversations, hear what is keeping them up at night, and answer as Solution Engineers do, with the right solution, why it fits, and the outcome it delivers, all brought together into one Hybrid Mesh Firewall design.</w:t>
      </w:r>
    </w:p>
    <w:p>
      <w:pPr>
        <w:spacing w:after="80" w:before="180" w:line="276"/>
      </w:pPr>
      <w:r>
        <w:rPr>
          <w:rFonts w:ascii="Calibri" w:cs="Calibri" w:eastAsia="Calibri" w:hAnsi="Calibri"/>
          <w:b/>
          <w:bCs/>
          <w:color w:val="0D274D"/>
          <w:sz w:val="30"/>
          <w:szCs w:val="30"/>
        </w:rPr>
        <w:t xml:space="preserve">The scenario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CE6F1" w:sz="6"/>
              <w:left w:val="single" w:color="DCE6F1" w:sz="6"/>
              <w:bottom w:val="single" w:color="DCE6F1" w:sz="6"/>
              <w:right w:val="single" w:color="DCE6F1" w:sz="6"/>
            </w:tcBorders>
            <w:shd w:fill="F3F7FB" w:color="auto" w:val="clear"/>
            <w:tcMar>
              <w:top w:type="dxa" w:w="110"/>
              <w:left w:type="dxa" w:w="160"/>
              <w:bottom w:type="dxa" w:w="110"/>
              <w:right w:type="dxa" w:w="160"/>
            </w:tcMar>
            <w:vAlign w:val="top"/>
          </w:tcPr>
          <w:p>
            <w:pPr>
              <w:spacing w:after="0" w:before="0" w:line="276"/>
            </w:pPr>
            <w:r>
              <w:rPr>
                <w:rFonts w:ascii="Calibri" w:cs="Calibri" w:eastAsia="Calibri" w:hAnsi="Calibri"/>
                <w:color w:val="33465F"/>
                <w:sz w:val="20"/>
                <w:szCs w:val="20"/>
              </w:rPr>
              <w:t xml:space="preserve">Cedarline Health Group is a regional healthcare payer-provider with roughly 8,000 employees across four hospitals and thirty-one clinics, plus a claims-processing business that handles the money. Growth by acquisition (including a second data centre absorbed as-is) and a mid-flight, disorderly move to public cloud have left a fragmented security posture. After a security incident in March, the board asked what would have stopped it, and leadership still cannot answer. Budget and executive attention are approved but explicitly temporary, and the security team is small.</w:t>
            </w:r>
          </w:p>
        </w:tc>
      </w:tr>
    </w:tbl>
    <w:p>
      <w:pPr>
        <w:spacing w:after="80" w:before="180" w:line="276"/>
      </w:pPr>
      <w:r>
        <w:rPr>
          <w:rFonts w:ascii="Calibri" w:cs="Calibri" w:eastAsia="Calibri" w:hAnsi="Calibri"/>
          <w:b/>
          <w:bCs/>
          <w:color w:val="0D274D"/>
          <w:sz w:val="30"/>
          <w:szCs w:val="30"/>
        </w:rPr>
        <w:t xml:space="preserve">Learning objectives</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640"/>
        <w:gridCol w:w="8720"/>
      </w:tblGrid>
      <w:tr>
        <w:tc>
          <w:tcPr>
            <w:tcW w:type="dxa" w:w="640"/>
            <w:tcBorders>
              <w:top w:val="none" w:color="FFFFFF" w:sz="0"/>
              <w:left w:val="none" w:color="FFFFFF" w:sz="0"/>
              <w:bottom w:val="none" w:color="FFFFFF" w:sz="0"/>
              <w:right w:val="none" w:color="FFFFFF" w:sz="0"/>
            </w:tcBorders>
            <w:shd w:fill="00BCEB" w:color="auto" w:val="clear"/>
            <w:tcMar>
              <w:top w:type="dxa" w:w="70"/>
              <w:left w:type="dxa" w:w="150"/>
              <w:bottom w:type="dxa" w:w="70"/>
              <w:right w:type="dxa" w:w="80"/>
            </w:tcMar>
            <w:vAlign w:val="center"/>
          </w:tcPr>
          <w:p>
            <w:pPr>
              <w:spacing w:after="0" w:before="0" w:line="276"/>
              <w:jc w:val="center"/>
            </w:pPr>
            <w:r>
              <w:rPr>
                <w:rFonts w:ascii="Calibri" w:cs="Calibri" w:eastAsia="Calibri" w:hAnsi="Calibri"/>
                <w:b/>
                <w:bCs/>
                <w:color w:val="04283A"/>
                <w:sz w:val="19"/>
                <w:szCs w:val="19"/>
              </w:rPr>
              <w:t xml:space="preserve">1</w:t>
            </w:r>
          </w:p>
        </w:tc>
        <w:tc>
          <w:tcPr>
            <w:tcW w:type="dxa" w:w="8720"/>
            <w:tcBorders>
              <w:top w:val="none" w:color="FFFFFF" w:sz="0"/>
              <w:left w:val="none" w:color="FFFFFF" w:sz="0"/>
              <w:bottom w:val="none" w:color="FFFFFF" w:sz="0"/>
              <w:right w:val="none" w:color="FFFFFF" w:sz="0"/>
            </w:tcBorders>
            <w:tcMar>
              <w:top w:type="dxa" w:w="80"/>
              <w:left w:type="dxa" w:w="150"/>
              <w:bottom w:type="dxa" w:w="80"/>
              <w:right w:type="dxa" w:w="140"/>
            </w:tcMar>
            <w:vAlign w:val="center"/>
          </w:tcPr>
          <w:p>
            <w:pPr>
              <w:spacing w:after="0" w:before="0" w:line="276"/>
            </w:pPr>
            <w:r>
              <w:rPr>
                <w:rFonts w:ascii="Calibri" w:cs="Calibri" w:eastAsia="Calibri" w:hAnsi="Calibri"/>
                <w:color w:val="33465F"/>
                <w:sz w:val="21"/>
                <w:szCs w:val="21"/>
              </w:rPr>
              <w:t xml:space="preserve">Map Cedarline's stated concerns to the right Cisco Secure solutions.</w:t>
            </w:r>
          </w:p>
        </w:tc>
      </w:tr>
      <w:tr>
        <w:tc>
          <w:tcPr>
            <w:tcW w:type="dxa" w:w="640"/>
            <w:tcBorders>
              <w:top w:val="single" w:color="E4EBF3" w:sz="4"/>
              <w:left w:val="none" w:color="FFFFFF" w:sz="0"/>
              <w:bottom w:val="none" w:color="FFFFFF" w:sz="0"/>
              <w:right w:val="none" w:color="FFFFFF" w:sz="0"/>
            </w:tcBorders>
            <w:shd w:fill="00BCEB" w:color="auto" w:val="clear"/>
            <w:tcMar>
              <w:top w:type="dxa" w:w="70"/>
              <w:left w:type="dxa" w:w="150"/>
              <w:bottom w:type="dxa" w:w="70"/>
              <w:right w:type="dxa" w:w="80"/>
            </w:tcMar>
            <w:vAlign w:val="center"/>
          </w:tcPr>
          <w:p>
            <w:pPr>
              <w:spacing w:after="0" w:before="0" w:line="276"/>
              <w:jc w:val="center"/>
            </w:pPr>
            <w:r>
              <w:rPr>
                <w:rFonts w:ascii="Calibri" w:cs="Calibri" w:eastAsia="Calibri" w:hAnsi="Calibri"/>
                <w:b/>
                <w:bCs/>
                <w:color w:val="04283A"/>
                <w:sz w:val="19"/>
                <w:szCs w:val="19"/>
              </w:rPr>
              <w:t xml:space="preserve">2</w:t>
            </w:r>
          </w:p>
        </w:tc>
        <w:tc>
          <w:tcPr>
            <w:tcW w:type="dxa" w:w="8720"/>
            <w:tcBorders>
              <w:top w:val="single" w:color="E4EBF3" w:sz="4"/>
              <w:left w:val="none" w:color="FFFFFF" w:sz="0"/>
              <w:bottom w:val="none" w:color="FFFFFF" w:sz="0"/>
              <w:right w:val="none" w:color="FFFFFF" w:sz="0"/>
            </w:tcBorders>
            <w:tcMar>
              <w:top w:type="dxa" w:w="80"/>
              <w:left w:type="dxa" w:w="150"/>
              <w:bottom w:type="dxa" w:w="80"/>
              <w:right w:type="dxa" w:w="140"/>
            </w:tcMar>
            <w:vAlign w:val="center"/>
          </w:tcPr>
          <w:p>
            <w:pPr>
              <w:spacing w:after="0" w:before="0" w:line="276"/>
            </w:pPr>
            <w:r>
              <w:rPr>
                <w:rFonts w:ascii="Calibri" w:cs="Calibri" w:eastAsia="Calibri" w:hAnsi="Calibri"/>
                <w:color w:val="33465F"/>
                <w:sz w:val="21"/>
                <w:szCs w:val="21"/>
              </w:rPr>
              <w:t xml:space="preserve">Explain, in the customer's language, how each solution addresses the concern.</w:t>
            </w:r>
          </w:p>
        </w:tc>
      </w:tr>
      <w:tr>
        <w:tc>
          <w:tcPr>
            <w:tcW w:type="dxa" w:w="640"/>
            <w:tcBorders>
              <w:top w:val="single" w:color="E4EBF3" w:sz="4"/>
              <w:left w:val="none" w:color="FFFFFF" w:sz="0"/>
              <w:bottom w:val="none" w:color="FFFFFF" w:sz="0"/>
              <w:right w:val="none" w:color="FFFFFF" w:sz="0"/>
            </w:tcBorders>
            <w:shd w:fill="00BCEB" w:color="auto" w:val="clear"/>
            <w:tcMar>
              <w:top w:type="dxa" w:w="70"/>
              <w:left w:type="dxa" w:w="150"/>
              <w:bottom w:type="dxa" w:w="70"/>
              <w:right w:type="dxa" w:w="80"/>
            </w:tcMar>
            <w:vAlign w:val="center"/>
          </w:tcPr>
          <w:p>
            <w:pPr>
              <w:spacing w:after="0" w:before="0" w:line="276"/>
              <w:jc w:val="center"/>
            </w:pPr>
            <w:r>
              <w:rPr>
                <w:rFonts w:ascii="Calibri" w:cs="Calibri" w:eastAsia="Calibri" w:hAnsi="Calibri"/>
                <w:b/>
                <w:bCs/>
                <w:color w:val="04283A"/>
                <w:sz w:val="19"/>
                <w:szCs w:val="19"/>
              </w:rPr>
              <w:t xml:space="preserve">3</w:t>
            </w:r>
          </w:p>
        </w:tc>
        <w:tc>
          <w:tcPr>
            <w:tcW w:type="dxa" w:w="8720"/>
            <w:tcBorders>
              <w:top w:val="single" w:color="E4EBF3" w:sz="4"/>
              <w:left w:val="none" w:color="FFFFFF" w:sz="0"/>
              <w:bottom w:val="none" w:color="FFFFFF" w:sz="0"/>
              <w:right w:val="none" w:color="FFFFFF" w:sz="0"/>
            </w:tcBorders>
            <w:tcMar>
              <w:top w:type="dxa" w:w="80"/>
              <w:left w:type="dxa" w:w="150"/>
              <w:bottom w:type="dxa" w:w="80"/>
              <w:right w:type="dxa" w:w="140"/>
            </w:tcMar>
            <w:vAlign w:val="center"/>
          </w:tcPr>
          <w:p>
            <w:pPr>
              <w:spacing w:after="0" w:before="0" w:line="276"/>
            </w:pPr>
            <w:r>
              <w:rPr>
                <w:rFonts w:ascii="Calibri" w:cs="Calibri" w:eastAsia="Calibri" w:hAnsi="Calibri"/>
                <w:color w:val="33465F"/>
                <w:sz w:val="21"/>
                <w:szCs w:val="21"/>
              </w:rPr>
              <w:t xml:space="preserve">Connect the four case studies into one coherent Hybrid Mesh Firewall design.</w:t>
            </w:r>
          </w:p>
        </w:tc>
      </w:tr>
      <w:tr>
        <w:tc>
          <w:tcPr>
            <w:tcW w:type="dxa" w:w="640"/>
            <w:tcBorders>
              <w:top w:val="single" w:color="E4EBF3" w:sz="4"/>
              <w:left w:val="none" w:color="FFFFFF" w:sz="0"/>
              <w:bottom w:val="none" w:color="FFFFFF" w:sz="0"/>
              <w:right w:val="none" w:color="FFFFFF" w:sz="0"/>
            </w:tcBorders>
            <w:shd w:fill="00BCEB" w:color="auto" w:val="clear"/>
            <w:tcMar>
              <w:top w:type="dxa" w:w="70"/>
              <w:left w:type="dxa" w:w="150"/>
              <w:bottom w:type="dxa" w:w="70"/>
              <w:right w:type="dxa" w:w="80"/>
            </w:tcMar>
            <w:vAlign w:val="center"/>
          </w:tcPr>
          <w:p>
            <w:pPr>
              <w:spacing w:after="0" w:before="0" w:line="276"/>
              <w:jc w:val="center"/>
            </w:pPr>
            <w:r>
              <w:rPr>
                <w:rFonts w:ascii="Calibri" w:cs="Calibri" w:eastAsia="Calibri" w:hAnsi="Calibri"/>
                <w:b/>
                <w:bCs/>
                <w:color w:val="04283A"/>
                <w:sz w:val="19"/>
                <w:szCs w:val="19"/>
              </w:rPr>
              <w:t xml:space="preserve">4</w:t>
            </w:r>
          </w:p>
        </w:tc>
        <w:tc>
          <w:tcPr>
            <w:tcW w:type="dxa" w:w="8720"/>
            <w:tcBorders>
              <w:top w:val="single" w:color="E4EBF3" w:sz="4"/>
              <w:left w:val="none" w:color="FFFFFF" w:sz="0"/>
              <w:bottom w:val="none" w:color="FFFFFF" w:sz="0"/>
              <w:right w:val="none" w:color="FFFFFF" w:sz="0"/>
            </w:tcBorders>
            <w:tcMar>
              <w:top w:type="dxa" w:w="80"/>
              <w:left w:type="dxa" w:w="150"/>
              <w:bottom w:type="dxa" w:w="80"/>
              <w:right w:type="dxa" w:w="140"/>
            </w:tcMar>
            <w:vAlign w:val="center"/>
          </w:tcPr>
          <w:p>
            <w:pPr>
              <w:spacing w:after="0" w:before="0" w:line="276"/>
            </w:pPr>
            <w:r>
              <w:rPr>
                <w:rFonts w:ascii="Calibri" w:cs="Calibri" w:eastAsia="Calibri" w:hAnsi="Calibri"/>
                <w:color w:val="33465F"/>
                <w:sz w:val="21"/>
                <w:szCs w:val="21"/>
              </w:rPr>
              <w:t xml:space="preserve">Present the business outcome, not just the feature.</w:t>
            </w:r>
          </w:p>
        </w:tc>
      </w:tr>
    </w:tbl>
    <w:p>
      <w:pPr>
        <w:spacing w:after="80" w:before="180" w:line="276"/>
      </w:pPr>
      <w:r>
        <w:rPr>
          <w:rFonts w:ascii="Calibri" w:cs="Calibri" w:eastAsia="Calibri" w:hAnsi="Calibri"/>
          <w:b/>
          <w:bCs/>
          <w:color w:val="0D274D"/>
          <w:sz w:val="30"/>
          <w:szCs w:val="30"/>
        </w:rPr>
        <w:t xml:space="preserve">The four case studies</w:t>
      </w:r>
    </w:p>
    <w:tbl>
      <w:tblPr>
        <w:tblW w:type="dxa" w:w="9360"/>
        <w:tblBorders>
          <w:top w:val="single" w:color="C4D2E2" w:sz="6"/>
          <w:left w:val="single" w:color="C4D2E2" w:sz="6"/>
          <w:bottom w:val="single" w:color="C4D2E2" w:sz="6"/>
          <w:right w:val="single" w:color="C4D2E2" w:sz="6"/>
          <w:insideH w:val="none" w:color="FFFFFF" w:sz="0"/>
          <w:insideV w:val="none" w:color="FFFFFF" w:sz="0"/>
        </w:tblBorders>
      </w:tblPr>
      <w:tblGrid>
        <w:gridCol w:w="700"/>
        <w:gridCol w:w="8660"/>
      </w:tblGrid>
      <w:tr>
        <w:tc>
          <w:tcPr>
            <w:tcW w:type="dxa" w:w="700"/>
            <w:tcBorders>
              <w:top w:val="single" w:color="E4EBF3" w:sz="4"/>
              <w:left w:val="none" w:color="FFFFFF" w:sz="0"/>
              <w:bottom w:val="none" w:color="FFFFFF" w:sz="0"/>
              <w:right w:val="none" w:color="FFFFFF" w:sz="0"/>
            </w:tcBorders>
            <w:tcMar>
              <w:top w:type="dxa" w:w="80"/>
              <w:left w:type="dxa" w:w="120"/>
              <w:bottom w:type="dxa" w:w="80"/>
              <w:right w:type="dxa" w:w="80"/>
            </w:tcMar>
            <w:vAlign w:val="center"/>
          </w:tcPr>
          <w:p>
            <w:pPr>
              <w:spacing w:after="0" w:before="0" w:line="276"/>
              <w:jc w:val="center"/>
            </w:pPr>
            <w:r>
              <w:rPr>
                <w:rFonts w:ascii="Calibri" w:cs="Calibri" w:eastAsia="Calibri" w:hAnsi="Calibri"/>
                <w:b/>
                <w:bCs/>
                <w:color w:val="0D274D"/>
                <w:sz w:val="24"/>
                <w:szCs w:val="24"/>
              </w:rPr>
              <w:t xml:space="preserve">1</w:t>
            </w:r>
          </w:p>
        </w:tc>
        <w:tc>
          <w:tcPr>
            <w:tcW w:type="dxa" w:w="8660"/>
            <w:tcBorders>
              <w:top w:val="single" w:color="E4EBF3" w:sz="4"/>
              <w:left w:val="none" w:color="FFFFFF" w:sz="0"/>
              <w:bottom w:val="none" w:color="FFFFFF" w:sz="0"/>
              <w:right w:val="none" w:color="FFFFFF" w:sz="0"/>
            </w:tcBorders>
            <w:tcMar>
              <w:top w:type="dxa" w:w="80"/>
              <w:left w:type="dxa" w:w="120"/>
              <w:bottom w:type="dxa" w:w="80"/>
              <w:right w:type="dxa" w:w="140"/>
            </w:tcMar>
          </w:tcPr>
          <w:p>
            <w:pPr>
              <w:spacing w:after="30" w:before="0" w:line="276"/>
            </w:pPr>
            <w:r>
              <w:rPr>
                <w:rFonts w:ascii="Calibri" w:cs="Calibri" w:eastAsia="Calibri" w:hAnsi="Calibri"/>
                <w:b/>
                <w:bCs/>
                <w:color w:val="0D274D"/>
                <w:sz w:val="20"/>
                <w:szCs w:val="20"/>
              </w:rPr>
              <w:t xml:space="preserve">Case Study 1</w:t>
            </w:r>
          </w:p>
          <w:p>
            <w:pPr>
              <w:spacing w:after="0" w:before="0" w:line="276"/>
            </w:pPr>
            <w:r>
              <w:rPr>
                <w:rFonts w:ascii="Calibri" w:cs="Calibri" w:eastAsia="Calibri" w:hAnsi="Calibri"/>
                <w:color w:val="3A4C63"/>
                <w:sz w:val="18"/>
                <w:szCs w:val="18"/>
              </w:rPr>
              <w:t xml:space="preserve">Cedarline is standing up AI across regulated workflows and public cloud faster than security can see it. Help them prove compliance, vet what they adopt, and get visibility and guardrails over AI traffic.</w:t>
            </w:r>
          </w:p>
        </w:tc>
      </w:tr>
      <w:tr>
        <w:tc>
          <w:tcPr>
            <w:tcW w:type="dxa" w:w="700"/>
            <w:tcBorders>
              <w:top w:val="single" w:color="E4EBF3" w:sz="4"/>
              <w:left w:val="none" w:color="FFFFFF" w:sz="0"/>
              <w:bottom w:val="none" w:color="FFFFFF" w:sz="0"/>
              <w:right w:val="none" w:color="FFFFFF" w:sz="0"/>
            </w:tcBorders>
            <w:tcMar>
              <w:top w:type="dxa" w:w="80"/>
              <w:left w:type="dxa" w:w="120"/>
              <w:bottom w:type="dxa" w:w="80"/>
              <w:right w:type="dxa" w:w="80"/>
            </w:tcMar>
            <w:vAlign w:val="center"/>
          </w:tcPr>
          <w:p>
            <w:pPr>
              <w:spacing w:after="0" w:before="0" w:line="276"/>
              <w:jc w:val="center"/>
            </w:pPr>
            <w:r>
              <w:rPr>
                <w:rFonts w:ascii="Calibri" w:cs="Calibri" w:eastAsia="Calibri" w:hAnsi="Calibri"/>
                <w:b/>
                <w:bCs/>
                <w:color w:val="0D274D"/>
                <w:sz w:val="24"/>
                <w:szCs w:val="24"/>
              </w:rPr>
              <w:t xml:space="preserve">2</w:t>
            </w:r>
          </w:p>
        </w:tc>
        <w:tc>
          <w:tcPr>
            <w:tcW w:type="dxa" w:w="8660"/>
            <w:tcBorders>
              <w:top w:val="single" w:color="E4EBF3" w:sz="4"/>
              <w:left w:val="none" w:color="FFFFFF" w:sz="0"/>
              <w:bottom w:val="none" w:color="FFFFFF" w:sz="0"/>
              <w:right w:val="none" w:color="FFFFFF" w:sz="0"/>
            </w:tcBorders>
            <w:tcMar>
              <w:top w:type="dxa" w:w="80"/>
              <w:left w:type="dxa" w:w="120"/>
              <w:bottom w:type="dxa" w:w="80"/>
              <w:right w:type="dxa" w:w="140"/>
            </w:tcMar>
          </w:tcPr>
          <w:p>
            <w:pPr>
              <w:spacing w:after="30" w:before="0" w:line="276"/>
            </w:pPr>
            <w:r>
              <w:rPr>
                <w:rFonts w:ascii="Calibri" w:cs="Calibri" w:eastAsia="Calibri" w:hAnsi="Calibri"/>
                <w:b/>
                <w:bCs/>
                <w:color w:val="0D274D"/>
                <w:sz w:val="20"/>
                <w:szCs w:val="20"/>
              </w:rPr>
              <w:t xml:space="preserve">Case Study 2</w:t>
            </w:r>
          </w:p>
          <w:p>
            <w:pPr>
              <w:spacing w:after="0" w:before="0" w:line="276"/>
            </w:pPr>
            <w:r>
              <w:rPr>
                <w:rFonts w:ascii="Calibri" w:cs="Calibri" w:eastAsia="Calibri" w:hAnsi="Calibri"/>
                <w:color w:val="3A4C63"/>
                <w:sz w:val="18"/>
                <w:szCs w:val="18"/>
              </w:rPr>
              <w:t xml:space="preserve">Workloads sprawl across AWS, Azure and on-prem, each with its own policy model. Contain lateral movement, prove consistent controls to auditors, and give Cedarline one place to define and enforce policy.</w:t>
            </w:r>
          </w:p>
        </w:tc>
      </w:tr>
      <w:tr>
        <w:tc>
          <w:tcPr>
            <w:tcW w:type="dxa" w:w="700"/>
            <w:tcBorders>
              <w:top w:val="single" w:color="E4EBF3" w:sz="4"/>
              <w:left w:val="none" w:color="FFFFFF" w:sz="0"/>
              <w:bottom w:val="none" w:color="FFFFFF" w:sz="0"/>
              <w:right w:val="none" w:color="FFFFFF" w:sz="0"/>
            </w:tcBorders>
            <w:tcMar>
              <w:top w:type="dxa" w:w="80"/>
              <w:left w:type="dxa" w:w="120"/>
              <w:bottom w:type="dxa" w:w="80"/>
              <w:right w:type="dxa" w:w="80"/>
            </w:tcMar>
            <w:vAlign w:val="center"/>
          </w:tcPr>
          <w:p>
            <w:pPr>
              <w:spacing w:after="0" w:before="0" w:line="276"/>
              <w:jc w:val="center"/>
            </w:pPr>
            <w:r>
              <w:rPr>
                <w:rFonts w:ascii="Calibri" w:cs="Calibri" w:eastAsia="Calibri" w:hAnsi="Calibri"/>
                <w:b/>
                <w:bCs/>
                <w:color w:val="0D274D"/>
                <w:sz w:val="24"/>
                <w:szCs w:val="24"/>
              </w:rPr>
              <w:t xml:space="preserve">3</w:t>
            </w:r>
          </w:p>
        </w:tc>
        <w:tc>
          <w:tcPr>
            <w:tcW w:type="dxa" w:w="8660"/>
            <w:tcBorders>
              <w:top w:val="single" w:color="E4EBF3" w:sz="4"/>
              <w:left w:val="none" w:color="FFFFFF" w:sz="0"/>
              <w:bottom w:val="none" w:color="FFFFFF" w:sz="0"/>
              <w:right w:val="none" w:color="FFFFFF" w:sz="0"/>
            </w:tcBorders>
            <w:tcMar>
              <w:top w:type="dxa" w:w="80"/>
              <w:left w:type="dxa" w:w="120"/>
              <w:bottom w:type="dxa" w:w="80"/>
              <w:right w:type="dxa" w:w="140"/>
            </w:tcMar>
          </w:tcPr>
          <w:p>
            <w:pPr>
              <w:spacing w:after="30" w:before="0" w:line="276"/>
            </w:pPr>
            <w:r>
              <w:rPr>
                <w:rFonts w:ascii="Calibri" w:cs="Calibri" w:eastAsia="Calibri" w:hAnsi="Calibri"/>
                <w:b/>
                <w:bCs/>
                <w:color w:val="0D274D"/>
                <w:sz w:val="20"/>
                <w:szCs w:val="20"/>
              </w:rPr>
              <w:t xml:space="preserve">Case Study 3</w:t>
            </w:r>
          </w:p>
          <w:p>
            <w:pPr>
              <w:spacing w:after="0" w:before="0" w:line="276"/>
            </w:pPr>
            <w:r>
              <w:rPr>
                <w:rFonts w:ascii="Calibri" w:cs="Calibri" w:eastAsia="Calibri" w:hAnsi="Calibri"/>
                <w:color w:val="3A4C63"/>
                <w:sz w:val="18"/>
                <w:szCs w:val="18"/>
              </w:rPr>
              <w:t xml:space="preserve">A mixed-vendor perimeter, an inherited rulebase and mostly encrypted traffic leave blind spots and a slow response. Restore visibility, speed the response, and modernise detection with the team they have.</w:t>
            </w:r>
          </w:p>
        </w:tc>
      </w:tr>
      <w:tr>
        <w:tc>
          <w:tcPr>
            <w:tcW w:type="dxa" w:w="700"/>
            <w:tcBorders>
              <w:top w:val="single" w:color="E4EBF3" w:sz="4"/>
              <w:left w:val="none" w:color="FFFFFF" w:sz="0"/>
              <w:bottom w:val="none" w:color="FFFFFF" w:sz="0"/>
              <w:right w:val="none" w:color="FFFFFF" w:sz="0"/>
            </w:tcBorders>
            <w:tcMar>
              <w:top w:type="dxa" w:w="80"/>
              <w:left w:type="dxa" w:w="120"/>
              <w:bottom w:type="dxa" w:w="80"/>
              <w:right w:type="dxa" w:w="80"/>
            </w:tcMar>
            <w:vAlign w:val="center"/>
          </w:tcPr>
          <w:p>
            <w:pPr>
              <w:spacing w:after="0" w:before="0" w:line="276"/>
              <w:jc w:val="center"/>
            </w:pPr>
            <w:r>
              <w:rPr>
                <w:rFonts w:ascii="Calibri" w:cs="Calibri" w:eastAsia="Calibri" w:hAnsi="Calibri"/>
                <w:b/>
                <w:bCs/>
                <w:color w:val="0D274D"/>
                <w:sz w:val="24"/>
                <w:szCs w:val="24"/>
              </w:rPr>
              <w:t xml:space="preserve">4</w:t>
            </w:r>
          </w:p>
        </w:tc>
        <w:tc>
          <w:tcPr>
            <w:tcW w:type="dxa" w:w="8660"/>
            <w:tcBorders>
              <w:top w:val="single" w:color="E4EBF3" w:sz="4"/>
              <w:left w:val="none" w:color="FFFFFF" w:sz="0"/>
              <w:bottom w:val="none" w:color="FFFFFF" w:sz="0"/>
              <w:right w:val="none" w:color="FFFFFF" w:sz="0"/>
            </w:tcBorders>
            <w:tcMar>
              <w:top w:type="dxa" w:w="80"/>
              <w:left w:type="dxa" w:w="120"/>
              <w:bottom w:type="dxa" w:w="80"/>
              <w:right w:type="dxa" w:w="140"/>
            </w:tcMar>
          </w:tcPr>
          <w:p>
            <w:pPr>
              <w:spacing w:after="30" w:before="0" w:line="276"/>
            </w:pPr>
            <w:r>
              <w:rPr>
                <w:rFonts w:ascii="Calibri" w:cs="Calibri" w:eastAsia="Calibri" w:hAnsi="Calibri"/>
                <w:b/>
                <w:bCs/>
                <w:color w:val="0D274D"/>
                <w:sz w:val="20"/>
                <w:szCs w:val="20"/>
              </w:rPr>
              <w:t xml:space="preserve">Case Study 4</w:t>
            </w:r>
          </w:p>
          <w:p>
            <w:pPr>
              <w:spacing w:after="0" w:before="0" w:line="276"/>
            </w:pPr>
            <w:r>
              <w:rPr>
                <w:rFonts w:ascii="Calibri" w:cs="Calibri" w:eastAsia="Calibri" w:hAnsi="Calibri"/>
                <w:color w:val="3A4C63"/>
                <w:sz w:val="18"/>
                <w:szCs w:val="18"/>
              </w:rPr>
              <w:t xml:space="preserve">A flat data centre and fragmented Kubernetes networking invite east-west movement. Build segmentation Cedarline can adopt safely, with runtime visibility and application-dependency awareness so nothing breaks.</w:t>
            </w:r>
          </w:p>
        </w:tc>
      </w:tr>
    </w:tbl>
    <w:p>
      <w:pPr>
        <w:spacing w:after="80" w:before="180" w:line="276"/>
      </w:pPr>
      <w:r>
        <w:rPr>
          <w:rFonts w:ascii="Calibri" w:cs="Calibri" w:eastAsia="Calibri" w:hAnsi="Calibri"/>
          <w:b/>
          <w:bCs/>
          <w:color w:val="0D274D"/>
          <w:sz w:val="30"/>
          <w:szCs w:val="30"/>
        </w:rPr>
        <w:t xml:space="preserve">How to run it</w:t>
      </w:r>
    </w:p>
    <w:p>
      <w:pPr>
        <w:spacing w:after="120" w:before="0" w:line="276"/>
      </w:pPr>
      <w:r>
        <w:rPr>
          <w:rFonts w:ascii="Calibri" w:cs="Calibri" w:eastAsia="Calibri" w:hAnsi="Calibri"/>
          <w:color w:val="3A4C63"/>
          <w:sz w:val="21"/>
          <w:szCs w:val="21"/>
        </w:rPr>
        <w:t xml:space="preserve">•  Teams of three to five. Each team gets a </w:t>
      </w:r>
      <w:r>
        <w:rPr>
          <w:rFonts w:ascii="Calibri" w:cs="Calibri" w:eastAsia="Calibri" w:hAnsi="Calibri"/>
          <w:b/>
          <w:bCs/>
          <w:color w:val="0D274D"/>
          <w:sz w:val="21"/>
          <w:szCs w:val="21"/>
        </w:rPr>
        <w:t xml:space="preserve">Team Workbook</w:t>
      </w:r>
      <w:r>
        <w:rPr>
          <w:rFonts w:ascii="Calibri" w:cs="Calibri" w:eastAsia="Calibri" w:hAnsi="Calibri"/>
          <w:color w:val="3A4C63"/>
          <w:sz w:val="21"/>
          <w:szCs w:val="21"/>
        </w:rPr>
        <w:t xml:space="preserve">.</w:t>
      </w:r>
    </w:p>
    <w:p>
      <w:pPr>
        <w:spacing w:after="120" w:before="0" w:line="276"/>
      </w:pPr>
      <w:r>
        <w:rPr>
          <w:rFonts w:ascii="Calibri" w:cs="Calibri" w:eastAsia="Calibri" w:hAnsi="Calibri"/>
          <w:color w:val="3A4C63"/>
          <w:sz w:val="21"/>
          <w:szCs w:val="21"/>
        </w:rPr>
        <w:t xml:space="preserve">•  Work all four case studies, four pain points each. For every one, give the </w:t>
      </w:r>
      <w:r>
        <w:rPr>
          <w:rFonts w:ascii="Calibri" w:cs="Calibri" w:eastAsia="Calibri" w:hAnsi="Calibri"/>
          <w:b/>
          <w:bCs/>
          <w:color w:val="0D274D"/>
          <w:sz w:val="21"/>
          <w:szCs w:val="21"/>
        </w:rPr>
        <w:t xml:space="preserve">product or platform</w:t>
      </w:r>
      <w:r>
        <w:rPr>
          <w:rFonts w:ascii="Calibri" w:cs="Calibri" w:eastAsia="Calibri" w:hAnsi="Calibri"/>
          <w:color w:val="3A4C63"/>
          <w:sz w:val="21"/>
          <w:szCs w:val="21"/>
        </w:rPr>
        <w:t xml:space="preserve"> and the SE response that covers how it addresses the concern and the outcome.</w:t>
      </w:r>
    </w:p>
    <w:p>
      <w:pPr>
        <w:spacing w:after="120" w:before="0" w:line="276"/>
      </w:pPr>
      <w:r>
        <w:rPr>
          <w:rFonts w:ascii="Calibri" w:cs="Calibri" w:eastAsia="Calibri" w:hAnsi="Calibri"/>
          <w:color w:val="3A4C63"/>
          <w:sz w:val="21"/>
          <w:szCs w:val="21"/>
        </w:rPr>
        <w:t xml:space="preserve">•  Finish by combining everything into one </w:t>
      </w:r>
      <w:r>
        <w:rPr>
          <w:rFonts w:ascii="Calibri" w:cs="Calibri" w:eastAsia="Calibri" w:hAnsi="Calibri"/>
          <w:b/>
          <w:bCs/>
          <w:color w:val="0D274D"/>
          <w:sz w:val="21"/>
          <w:szCs w:val="21"/>
        </w:rPr>
        <w:t xml:space="preserve">Hybrid Mesh Firewall topology</w:t>
      </w:r>
      <w:r>
        <w:rPr>
          <w:rFonts w:ascii="Calibri" w:cs="Calibri" w:eastAsia="Calibri" w:hAnsi="Calibri"/>
          <w:color w:val="3A4C63"/>
          <w:sz w:val="21"/>
          <w:szCs w:val="21"/>
        </w:rPr>
        <w:t xml:space="preserve">, pasted or drawn on the last page.</w:t>
      </w:r>
    </w:p>
    <w:p>
      <w:pPr>
        <w:spacing w:after="120" w:before="0" w:line="276"/>
      </w:pPr>
      <w:r>
        <w:rPr>
          <w:rFonts w:ascii="Calibri" w:cs="Calibri" w:eastAsia="Calibri" w:hAnsi="Calibri"/>
          <w:color w:val="3A4C63"/>
          <w:sz w:val="21"/>
          <w:szCs w:val="21"/>
        </w:rPr>
        <w:t xml:space="preserve">•  Suggested timing: about 10 minutes per case study, and about 15 minutes for the topology and readout.</w:t>
      </w:r>
      <w:r>
        <w:rPr>
          <w:rFonts w:ascii="Calibri" w:cs="Calibri" w:eastAsia="Calibri" w:hAnsi="Calibri"/>
          <w:b/>
          <w:bCs/>
          <w:color w:val="0D274D"/>
          <w:sz w:val="21"/>
          <w:szCs w:val="21"/>
        </w:rPr>
        <w:t xml:space="preserve"/>
      </w:r>
      <w:r>
        <w:rPr>
          <w:rFonts w:ascii="Calibri" w:cs="Calibri" w:eastAsia="Calibri" w:hAnsi="Calibri"/>
          <w:color w:val="3A4C63"/>
          <w:sz w:val="21"/>
          <w:szCs w:val="21"/>
        </w:rPr>
        <w:t xml:space="preserve"/>
      </w:r>
    </w:p>
    <w:p>
      <w:pPr>
        <w:spacing w:after="80" w:before="180" w:line="276"/>
      </w:pPr>
      <w:r>
        <w:rPr>
          <w:rFonts w:ascii="Calibri" w:cs="Calibri" w:eastAsia="Calibri" w:hAnsi="Calibri"/>
          <w:b/>
          <w:bCs/>
          <w:color w:val="0D274D"/>
          <w:sz w:val="30"/>
          <w:szCs w:val="30"/>
        </w:rPr>
        <w:t xml:space="preserve">How we score</w:t>
      </w:r>
    </w:p>
    <w:p>
      <w:pPr>
        <w:spacing w:after="100" w:before="0" w:line="276"/>
      </w:pPr>
      <w:r>
        <w:rPr>
          <w:rFonts w:ascii="Calibri" w:cs="Calibri" w:eastAsia="Calibri" w:hAnsi="Calibri"/>
          <w:color w:val="3A4C63"/>
          <w:sz w:val="21"/>
          <w:szCs w:val="21"/>
        </w:rPr>
        <w:t xml:space="preserve">Every pain point is worth </w:t>
      </w:r>
      <w:r>
        <w:rPr>
          <w:rFonts w:ascii="Calibri" w:cs="Calibri" w:eastAsia="Calibri" w:hAnsi="Calibri"/>
          <w:b/>
          <w:bCs/>
          <w:color w:val="0D274D"/>
          <w:sz w:val="21"/>
          <w:szCs w:val="21"/>
        </w:rPr>
        <w:t xml:space="preserve">25 points</w:t>
      </w:r>
      <w:r>
        <w:rPr>
          <w:rFonts w:ascii="Calibri" w:cs="Calibri" w:eastAsia="Calibri" w:hAnsi="Calibri"/>
          <w:color w:val="3A4C63"/>
          <w:sz w:val="21"/>
          <w:szCs w:val="21"/>
        </w:rPr>
        <w:t xml:space="preserve"> across three dimensions, for 100 per case study and 400 in total.</w:t>
      </w:r>
    </w:p>
    <w:tbl>
      <w:tblPr>
        <w:tblW w:type="dxa" w:w="9360"/>
        <w:tblBorders>
          <w:top w:val="none" w:color="FFFFFF" w:sz="0"/>
          <w:left w:val="none" w:color="FFFFFF" w:sz="0"/>
          <w:bottom w:val="none" w:color="FFFFFF" w:sz="0"/>
          <w:right w:val="none" w:color="FFFFFF" w:sz="0"/>
          <w:insideH w:val="none" w:color="FFFFFF" w:sz="0"/>
          <w:insideV w:val="single" w:color="FFFFFF" w:sz="30"/>
        </w:tblBorders>
      </w:tblPr>
      <w:tblGrid>
        <w:gridCol w:w="3120"/>
        <w:gridCol w:w="3120"/>
        <w:gridCol w:w="3120"/>
      </w:tblGrid>
      <w:tr>
        <w:tc>
          <w:tcPr>
            <w:tcW w:type="dxa" w:w="3120"/>
            <w:tcBorders>
              <w:top w:val="single" w:color="5B4BC4" w:sz="40"/>
              <w:left w:val="single" w:color="C4D2E2" w:sz="6"/>
              <w:bottom w:val="single" w:color="C4D2E2" w:sz="6"/>
              <w:right w:val="single" w:color="C4D2E2" w:sz="6"/>
            </w:tcBorders>
            <w:tcMar>
              <w:top w:type="dxa" w:w="120"/>
              <w:left w:type="dxa" w:w="150"/>
              <w:bottom w:type="dxa" w:w="120"/>
              <w:right w:type="dxa" w:w="150"/>
            </w:tcMar>
            <w:vAlign w:val="top"/>
          </w:tcPr>
          <w:p>
            <w:pPr>
              <w:spacing w:after="60" w:before="0" w:line="276"/>
            </w:pPr>
            <w:r>
              <w:rPr>
                <w:rFonts w:ascii="Calibri" w:cs="Calibri" w:eastAsia="Calibri" w:hAnsi="Calibri"/>
                <w:b/>
                <w:bCs/>
                <w:color w:val="4A3AA8"/>
                <w:sz w:val="21"/>
                <w:szCs w:val="21"/>
              </w:rPr>
              <w:t xml:space="preserve">🔍 Problem Identifier</w:t>
            </w:r>
            <w:r>
              <w:rPr>
                <w:rFonts w:ascii="Calibri" w:cs="Calibri" w:eastAsia="Calibri" w:hAnsi="Calibri"/>
                <w:b/>
                <w:bCs/>
                <w:color w:val="7E8CA1"/>
                <w:sz w:val="16"/>
                <w:szCs w:val="16"/>
              </w:rPr>
              <w:t xml:space="preserve">   / 5</w:t>
            </w:r>
          </w:p>
          <w:p>
            <w:pPr>
              <w:spacing w:after="0" w:before="0" w:line="276"/>
            </w:pPr>
            <w:r>
              <w:rPr>
                <w:rFonts w:ascii="Calibri" w:cs="Calibri" w:eastAsia="Calibri" w:hAnsi="Calibri"/>
                <w:color w:val="33465F"/>
                <w:sz w:val="18"/>
                <w:szCs w:val="18"/>
              </w:rPr>
              <w:t xml:space="preserve">Correctly identified the customer's pain point and the requirements behind it.</w:t>
            </w:r>
          </w:p>
        </w:tc>
        <w:tc>
          <w:tcPr>
            <w:tcW w:type="dxa" w:w="3120"/>
            <w:tcBorders>
              <w:top w:val="single" w:color="0E7C86" w:sz="40"/>
              <w:left w:val="single" w:color="C4D2E2" w:sz="6"/>
              <w:bottom w:val="single" w:color="C4D2E2" w:sz="6"/>
              <w:right w:val="single" w:color="C4D2E2" w:sz="6"/>
            </w:tcBorders>
            <w:tcMar>
              <w:top w:type="dxa" w:w="120"/>
              <w:left w:type="dxa" w:w="150"/>
              <w:bottom w:type="dxa" w:w="120"/>
              <w:right w:type="dxa" w:w="150"/>
            </w:tcMar>
            <w:vAlign w:val="top"/>
          </w:tcPr>
          <w:p>
            <w:pPr>
              <w:spacing w:after="60" w:before="0" w:line="276"/>
            </w:pPr>
            <w:r>
              <w:rPr>
                <w:rFonts w:ascii="Calibri" w:cs="Calibri" w:eastAsia="Calibri" w:hAnsi="Calibri"/>
                <w:b/>
                <w:bCs/>
                <w:color w:val="0B6670"/>
                <w:sz w:val="21"/>
                <w:szCs w:val="21"/>
              </w:rPr>
              <w:t xml:space="preserve">🏗️ Solution Designer</w:t>
            </w:r>
            <w:r>
              <w:rPr>
                <w:rFonts w:ascii="Calibri" w:cs="Calibri" w:eastAsia="Calibri" w:hAnsi="Calibri"/>
                <w:b/>
                <w:bCs/>
                <w:color w:val="7E8CA1"/>
                <w:sz w:val="16"/>
                <w:szCs w:val="16"/>
              </w:rPr>
              <w:t xml:space="preserve">   / 10</w:t>
            </w:r>
          </w:p>
          <w:p>
            <w:pPr>
              <w:spacing w:after="0" w:before="0" w:line="276"/>
            </w:pPr>
            <w:r>
              <w:rPr>
                <w:rFonts w:ascii="Calibri" w:cs="Calibri" w:eastAsia="Calibri" w:hAnsi="Calibri"/>
                <w:color w:val="33465F"/>
                <w:sz w:val="18"/>
                <w:szCs w:val="18"/>
              </w:rPr>
              <w:t xml:space="preserve">Recommended the right Cisco solution, architecture, and approach.</w:t>
            </w:r>
          </w:p>
        </w:tc>
        <w:tc>
          <w:tcPr>
            <w:tcW w:type="dxa" w:w="3120"/>
            <w:tcBorders>
              <w:top w:val="single" w:color="B7791F" w:sz="40"/>
              <w:left w:val="single" w:color="C4D2E2" w:sz="6"/>
              <w:bottom w:val="single" w:color="C4D2E2" w:sz="6"/>
              <w:right w:val="single" w:color="C4D2E2" w:sz="6"/>
            </w:tcBorders>
            <w:tcMar>
              <w:top w:type="dxa" w:w="120"/>
              <w:left w:type="dxa" w:w="150"/>
              <w:bottom w:type="dxa" w:w="120"/>
              <w:right w:type="dxa" w:w="150"/>
            </w:tcMar>
            <w:vAlign w:val="top"/>
          </w:tcPr>
          <w:p>
            <w:pPr>
              <w:spacing w:after="60" w:before="0" w:line="276"/>
            </w:pPr>
            <w:r>
              <w:rPr>
                <w:rFonts w:ascii="Calibri" w:cs="Calibri" w:eastAsia="Calibri" w:hAnsi="Calibri"/>
                <w:b/>
                <w:bCs/>
                <w:color w:val="9A6516"/>
                <w:sz w:val="21"/>
                <w:szCs w:val="21"/>
              </w:rPr>
              <w:t xml:space="preserve">🎯 Value Communicator</w:t>
            </w:r>
            <w:r>
              <w:rPr>
                <w:rFonts w:ascii="Calibri" w:cs="Calibri" w:eastAsia="Calibri" w:hAnsi="Calibri"/>
                <w:b/>
                <w:bCs/>
                <w:color w:val="7E8CA1"/>
                <w:sz w:val="16"/>
                <w:szCs w:val="16"/>
              </w:rPr>
              <w:t xml:space="preserve">   / 10</w:t>
            </w:r>
          </w:p>
          <w:p>
            <w:pPr>
              <w:spacing w:after="0" w:before="0" w:line="276"/>
            </w:pPr>
            <w:r>
              <w:rPr>
                <w:rFonts w:ascii="Calibri" w:cs="Calibri" w:eastAsia="Calibri" w:hAnsi="Calibri"/>
                <w:color w:val="33465F"/>
                <w:sz w:val="18"/>
                <w:szCs w:val="18"/>
              </w:rPr>
              <w:t xml:space="preserve">Clearly explained how the solution works and the customer outcomes it enables.</w:t>
            </w:r>
          </w:p>
        </w:tc>
      </w:tr>
    </w:tbl>
    <w:p>
      <w:pPr>
        <w:spacing w:after="0" w:before="120" w:line="276"/>
      </w:pPr>
      <w:r>
        <w:rPr>
          <w:rFonts w:ascii="Calibri" w:cs="Calibri" w:eastAsia="Calibri" w:hAnsi="Calibri"/>
          <w:color w:val="7E8CA1"/>
          <w:sz w:val="17"/>
          <w:szCs w:val="17"/>
        </w:rPr>
        <w:t xml:space="preserve">Facilitators grade from the </w:t>
      </w:r>
      <w:r>
        <w:rPr>
          <w:rFonts w:ascii="Calibri" w:cs="Calibri" w:eastAsia="Calibri" w:hAnsi="Calibri"/>
          <w:b/>
          <w:bCs/>
          <w:color w:val="7E8CA1"/>
          <w:sz w:val="17"/>
          <w:szCs w:val="17"/>
        </w:rPr>
        <w:t xml:space="preserve">Solution Guide</w:t>
      </w:r>
      <w:r>
        <w:rPr>
          <w:rFonts w:ascii="Calibri" w:cs="Calibri" w:eastAsia="Calibri" w:hAnsi="Calibri"/>
          <w:color w:val="7E8CA1"/>
          <w:sz w:val="17"/>
          <w:szCs w:val="17"/>
        </w:rPr>
        <w:t xml:space="preserve"> and record marks and feedback on the </w:t>
      </w:r>
      <w:r>
        <w:rPr>
          <w:rFonts w:ascii="Calibri" w:cs="Calibri" w:eastAsia="Calibri" w:hAnsi="Calibri"/>
          <w:b/>
          <w:bCs/>
          <w:color w:val="7E8CA1"/>
          <w:sz w:val="17"/>
          <w:szCs w:val="17"/>
        </w:rPr>
        <w:t xml:space="preserve">Grading Guide</w:t>
      </w:r>
      <w:r>
        <w:rPr>
          <w:rFonts w:ascii="Calibri" w:cs="Calibri" w:eastAsia="Calibri" w:hAnsi="Calibri"/>
          <w:color w:val="7E8CA1"/>
          <w:sz w:val="17"/>
          <w:szCs w:val="17"/>
        </w:rPr>
        <w:t xml:space="preser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2026-08-03T18:42:43.456Z</dcterms:created>
  <dcterms:modified xsi:type="dcterms:W3CDTF">2026-08-03T18:42:43.456Z</dcterms:modified>
</cp:coreProperties>
</file>

<file path=docProps/custom.xml><?xml version="1.0" encoding="utf-8"?>
<Properties xmlns="http://schemas.openxmlformats.org/officeDocument/2006/custom-properties" xmlns:vt="http://schemas.openxmlformats.org/officeDocument/2006/docPropsVTypes"/>
</file>