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w:t>
      </w:r>
    </w:p>
    <w:p>
      <w:pPr>
        <w:spacing w:after="60" w:before="0" w:line="276"/>
      </w:pPr>
      <w:r>
        <w:rPr>
          <w:rFonts w:ascii="Calibri" w:cs="Calibri" w:eastAsia="Calibri" w:hAnsi="Calibri"/>
          <w:b/>
          <w:bCs/>
          <w:color w:val="0D274D"/>
          <w:sz w:val="40"/>
          <w:szCs w:val="40"/>
        </w:rPr>
        <w:t xml:space="preserve">HMF Design Clinic Grading Guide</w:t>
      </w:r>
    </w:p>
    <w:p>
      <w:pPr>
        <w:spacing w:after="140" w:before="0" w:line="276"/>
      </w:pPr>
      <w:r>
        <w:rPr>
          <w:rFonts w:ascii="Calibri" w:cs="Calibri" w:eastAsia="Calibri" w:hAnsi="Calibri"/>
          <w:color w:val="3A4C63"/>
          <w:sz w:val="24"/>
          <w:szCs w:val="24"/>
        </w:rPr>
        <w:t xml:space="preserve">Score each submitted Workbook, pain point by pain point, against a clear rubric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How it works.  </w:t>
            </w:r>
            <w:r>
              <w:rPr>
                <w:rFonts w:ascii="Calibri" w:cs="Calibri" w:eastAsia="Calibri" w:hAnsi="Calibri"/>
                <w:color w:val="33465F"/>
                <w:sz w:val="20"/>
                <w:szCs w:val="20"/>
              </w:rPr>
              <w:t xml:space="preserve">This is the instrument you use to evaluate the Workbook each team submits. Score every pain point across the three dimensions, out of 25, for a case study score out of 100 and an overall score out of 400. Each pain point comes with the full-credit answer and a rubric so the score reflects the quality of the team's answer. Use the Solution Guide for the wider model answers.</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scoring rubric</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How answers are scored</w:t>
      </w:r>
    </w:p>
    <w:p>
      <w:pPr>
        <w:spacing w:after="100" w:before="0" w:line="276"/>
      </w:pPr>
      <w:r>
        <w:rPr>
          <w:rFonts w:ascii="Calibri" w:cs="Calibri" w:eastAsia="Calibri" w:hAnsi="Calibri"/>
          <w:color w:val="3A4C63"/>
          <w:sz w:val="21"/>
          <w:szCs w:val="21"/>
        </w:rPr>
        <w:t xml:space="preserve">Score each pain point across the three dimensions. Problem Identifier is worth 5, Solution Designer 10, and Value Communicator 10, for 25 per pain point. Four pain points make a case study score out of 100, and the four case studies make an overall score out of 400.</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r>
              <w:rPr>
                <w:rFonts w:ascii="Calibri" w:cs="Calibri" w:eastAsia="Calibri" w:hAnsi="Calibri"/>
                <w:b/>
                <w:bCs/>
                <w:color w:val="036C8F"/>
                <w:sz w:val="14"/>
                <w:szCs w:val="14"/>
              </w:rPr>
              <w:t xml:space="preserve">  out of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p>
      <w:pPr>
        <w:spacing w:after="50" w:before="150" w:line="276"/>
      </w:pPr>
      <w:r>
        <w:rPr>
          <w:rFonts w:ascii="Calibri" w:cs="Calibri" w:eastAsia="Calibri" w:hAnsi="Calibri"/>
          <w:b/>
          <w:bCs/>
          <w:caps/>
          <w:color w:val="0D274D"/>
          <w:sz w:val="22"/>
          <w:szCs w:val="22"/>
        </w:rPr>
        <w:t xml:space="preserve">What each score means</w:t>
      </w:r>
    </w:p>
    <w:p>
      <w:pPr>
        <w:spacing w:after="60" w:before="0" w:line="276"/>
      </w:pPr>
      <w:r>
        <w:rPr>
          <w:rFonts w:ascii="Calibri" w:cs="Calibri" w:eastAsia="Calibri" w:hAnsi="Calibri"/>
          <w:color w:val="3A4C63"/>
          <w:sz w:val="20"/>
          <w:szCs w:val="20"/>
        </w:rPr>
        <w:t xml:space="preserve">Read the team's written answer, then award marks from the band it matches. These bands apply to every pain point; the full-credit answer for each specific pain point is shown beside its score box.</w:t>
      </w:r>
    </w:p>
    <w:p>
      <w:pPr>
        <w:spacing w:after="50" w:before="160" w:line="276"/>
      </w:pPr>
      <w:r>
        <w:rPr>
          <w:rFonts w:ascii="Calibri" w:cs="Calibri" w:eastAsia="Calibri" w:hAnsi="Calibri"/>
          <w:b/>
          <w:bCs/>
          <w:color w:val="4A3AA8"/>
          <w:sz w:val="22"/>
          <w:szCs w:val="22"/>
        </w:rPr>
        <w:t xml:space="preserve">Problem Identifier</w:t>
      </w:r>
      <w:r>
        <w:rPr>
          <w:rFonts w:ascii="Calibri" w:cs="Calibri" w:eastAsia="Calibri" w:hAnsi="Calibri"/>
          <w:b/>
          <w:bCs/>
          <w:caps/>
          <w:color w:val="036C8F"/>
          <w:sz w:val="14"/>
          <w:szCs w:val="14"/>
        </w:rPr>
        <w:t xml:space="preserve">   SCORE OUT OF 5</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7860"/>
      </w:tblGrid>
      <w:tr>
        <w:tc>
          <w:tcPr>
            <w:tcW w:type="dxa" w:w="1500"/>
            <w:tcBorders>
              <w:top w:val="none" w:color="FFFFFF" w:sz="0"/>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B6670"/>
                <w:sz w:val="18"/>
                <w:szCs w:val="18"/>
              </w:rPr>
              <w:t xml:space="preserve">5</w:t>
            </w:r>
          </w:p>
        </w:tc>
        <w:tc>
          <w:tcPr>
            <w:tcW w:type="dxa" w:w="78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Precisely identifies the pain point and the requirements or constraints behind it.</w:t>
            </w:r>
          </w:p>
        </w:tc>
      </w:tr>
      <w:tr>
        <w:tc>
          <w:tcPr>
            <w:tcW w:type="dxa" w:w="15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B6670"/>
                <w:sz w:val="18"/>
                <w:szCs w:val="18"/>
              </w:rPr>
              <w:t xml:space="preserve">3 to 4</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Identifies the pain point but misses some requirements or nuance.</w:t>
            </w:r>
          </w:p>
        </w:tc>
      </w:tr>
      <w:tr>
        <w:tc>
          <w:tcPr>
            <w:tcW w:type="dxa" w:w="15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B6670"/>
                <w:sz w:val="18"/>
                <w:szCs w:val="18"/>
              </w:rPr>
              <w:t xml:space="preserve">1 to 2</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Vague or partial understanding of the concern.</w:t>
            </w:r>
          </w:p>
        </w:tc>
      </w:tr>
      <w:tr>
        <w:tc>
          <w:tcPr>
            <w:tcW w:type="dxa" w:w="15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B6670"/>
                <w:sz w:val="18"/>
                <w:szCs w:val="18"/>
              </w:rPr>
              <w:t xml:space="preserve">0</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Misreads the concern, or leaves it blank.</w:t>
            </w:r>
          </w:p>
        </w:tc>
      </w:tr>
    </w:tbl>
    <w:p>
      <w:pPr>
        <w:spacing w:after="50" w:before="160" w:line="276"/>
      </w:pPr>
      <w:r>
        <w:rPr>
          <w:rFonts w:ascii="Calibri" w:cs="Calibri" w:eastAsia="Calibri" w:hAnsi="Calibri"/>
          <w:b/>
          <w:bCs/>
          <w:color w:val="0B6670"/>
          <w:sz w:val="22"/>
          <w:szCs w:val="22"/>
        </w:rPr>
        <w:t xml:space="preserve">Solution Designer</w:t>
      </w:r>
      <w:r>
        <w:rPr>
          <w:rFonts w:ascii="Calibri" w:cs="Calibri" w:eastAsia="Calibri" w:hAnsi="Calibri"/>
          <w:b/>
          <w:bCs/>
          <w:caps/>
          <w:color w:val="036C8F"/>
          <w:sz w:val="14"/>
          <w:szCs w:val="14"/>
        </w:rPr>
        <w:t xml:space="preserve">   SCORE OUT OF 10</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7860"/>
      </w:tblGrid>
      <w:tr>
        <w:tc>
          <w:tcPr>
            <w:tcW w:type="dxa" w:w="1500"/>
            <w:tcBorders>
              <w:top w:val="none" w:color="FFFFFF" w:sz="0"/>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B6670"/>
                <w:sz w:val="18"/>
                <w:szCs w:val="18"/>
              </w:rPr>
              <w:t xml:space="preserve">8 to 10</w:t>
            </w:r>
          </w:p>
        </w:tc>
        <w:tc>
          <w:tcPr>
            <w:tcW w:type="dxa" w:w="78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Recommends the right Cisco solution and an architecture or approach that fits Cedarline and the HMF design.</w:t>
            </w:r>
          </w:p>
        </w:tc>
      </w:tr>
      <w:tr>
        <w:tc>
          <w:tcPr>
            <w:tcW w:type="dxa" w:w="15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B6670"/>
                <w:sz w:val="18"/>
                <w:szCs w:val="18"/>
              </w:rPr>
              <w:t xml:space="preserve">5 to 7</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Right solution, but light on the architecture or approach.</w:t>
            </w:r>
          </w:p>
        </w:tc>
      </w:tr>
      <w:tr>
        <w:tc>
          <w:tcPr>
            <w:tcW w:type="dxa" w:w="15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B6670"/>
                <w:sz w:val="18"/>
                <w:szCs w:val="18"/>
              </w:rPr>
              <w:t xml:space="preserve">2 to 4</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Partly right, or a product named with no approach.</w:t>
            </w:r>
          </w:p>
        </w:tc>
      </w:tr>
      <w:tr>
        <w:tc>
          <w:tcPr>
            <w:tcW w:type="dxa" w:w="15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B6670"/>
                <w:sz w:val="18"/>
                <w:szCs w:val="18"/>
              </w:rPr>
              <w:t xml:space="preserve">0 to 1</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Wrong solution, or left blank.</w:t>
            </w:r>
          </w:p>
        </w:tc>
      </w:tr>
    </w:tbl>
    <w:p>
      <w:pPr>
        <w:spacing w:after="50" w:before="160" w:line="276"/>
      </w:pPr>
      <w:r>
        <w:rPr>
          <w:rFonts w:ascii="Calibri" w:cs="Calibri" w:eastAsia="Calibri" w:hAnsi="Calibri"/>
          <w:b/>
          <w:bCs/>
          <w:color w:val="9A6516"/>
          <w:sz w:val="22"/>
          <w:szCs w:val="22"/>
        </w:rPr>
        <w:t xml:space="preserve">Value Communicator</w:t>
      </w:r>
      <w:r>
        <w:rPr>
          <w:rFonts w:ascii="Calibri" w:cs="Calibri" w:eastAsia="Calibri" w:hAnsi="Calibri"/>
          <w:b/>
          <w:bCs/>
          <w:caps/>
          <w:color w:val="036C8F"/>
          <w:sz w:val="14"/>
          <w:szCs w:val="14"/>
        </w:rPr>
        <w:t xml:space="preserve">   SCORE OUT OF 10</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7860"/>
      </w:tblGrid>
      <w:tr>
        <w:tc>
          <w:tcPr>
            <w:tcW w:type="dxa" w:w="1500"/>
            <w:tcBorders>
              <w:top w:val="none" w:color="FFFFFF" w:sz="0"/>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B6670"/>
                <w:sz w:val="18"/>
                <w:szCs w:val="18"/>
              </w:rPr>
              <w:t xml:space="preserve">8 to 10</w:t>
            </w:r>
          </w:p>
        </w:tc>
        <w:tc>
          <w:tcPr>
            <w:tcW w:type="dxa" w:w="78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Clearly explains how the solution works and the concrete Cedarline outcomes it enables.</w:t>
            </w:r>
          </w:p>
        </w:tc>
      </w:tr>
      <w:tr>
        <w:tc>
          <w:tcPr>
            <w:tcW w:type="dxa" w:w="15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B6670"/>
                <w:sz w:val="18"/>
                <w:szCs w:val="18"/>
              </w:rPr>
              <w:t xml:space="preserve">5 to 7</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Explains how it works but is thin on outcomes, or states outcomes without the how.</w:t>
            </w:r>
          </w:p>
        </w:tc>
      </w:tr>
      <w:tr>
        <w:tc>
          <w:tcPr>
            <w:tcW w:type="dxa" w:w="15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B6670"/>
                <w:sz w:val="18"/>
                <w:szCs w:val="18"/>
              </w:rPr>
              <w:t xml:space="preserve">2 to 4</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Vague or generic.</w:t>
            </w:r>
          </w:p>
        </w:tc>
      </w:tr>
      <w:tr>
        <w:tc>
          <w:tcPr>
            <w:tcW w:type="dxa" w:w="15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B6670"/>
                <w:sz w:val="18"/>
                <w:szCs w:val="18"/>
              </w:rPr>
              <w:t xml:space="preserve">0 to 1</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No explanation, or left blank.</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Grade the reasoning, not the wording.  </w:t>
            </w:r>
            <w:r>
              <w:rPr>
                <w:rFonts w:ascii="Calibri" w:cs="Calibri" w:eastAsia="Calibri" w:hAnsi="Calibri"/>
                <w:color w:val="33465F"/>
                <w:sz w:val="20"/>
                <w:szCs w:val="20"/>
              </w:rPr>
              <w:t xml:space="preserve">Reward answers that identify the real requirement, name the right Cisco product and approach, and explain the outcome for Cedarline. A different but well-argued product may still earn marks if the reasoning fits Cedarline. Use the Solution Guide for the wider model answers.</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How to evaluate a submission</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Working through a Workbook</w:t>
      </w:r>
    </w:p>
    <w:p>
      <w:pPr>
        <w:spacing w:after="100" w:before="0" w:line="276"/>
      </w:pPr>
      <w:r>
        <w:rPr>
          <w:rFonts w:ascii="Calibri" w:cs="Calibri" w:eastAsia="Calibri" w:hAnsi="Calibri"/>
          <w:color w:val="3A4C63"/>
          <w:sz w:val="21"/>
          <w:szCs w:val="21"/>
        </w:rPr>
        <w:t xml:space="preserve">Each team submits a completed Workbook. Work through it one case study at a time, scoring every pain point against the rubric and the full-credit answers on the pages that follow.</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Collect each team's Workbook and check that all four case studies have been attempted.</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Take one case study at a time. For each pain point, read the team's Product / platform and Solution Engineer response.</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Score the pain point across the three dimensions using the rubric: Problem Identifier out of 5, Solution Designer out of 10, and Value Communicator out of 10.</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Compare the answer against the full-credit answer shown for that pain point, and use the score bands to award the marks.</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5</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Add the three dimension scores for the pain point total out of 25, and the four pain points for the case study score out of 100.</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6</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Record each case study score and a line of strengths and coaching on the Proctor evaluation page at the back of the team's Workbook.</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7</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Add the four case study scores for the overall score out of 400, note what the team did well and where they can grow, and pass the topology diagram to the SME for review.</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What each dimension looks for.  </w:t>
            </w:r>
            <w:r>
              <w:rPr>
                <w:rFonts w:ascii="Calibri" w:cs="Calibri" w:eastAsia="Calibri" w:hAnsi="Calibri"/>
                <w:color w:val="33465F"/>
                <w:sz w:val="20"/>
                <w:szCs w:val="20"/>
              </w:rPr>
              <w:t xml:space="preserve">Problem Identifier: did the team name the real requirement behind the concern? Solution Designer: did they land on the right product and an approach that fits Cedarline? Value Communicator: did they explain how it works and the outcome? Compare against the full-credit answers, and reward reasoning specific to Cedarline.</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Score each pain point against its full-credit answer and the rubric, then total the case study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8"/>
                <w:szCs w:val="18"/>
              </w:rPr>
              <w:t xml:space="preserve">How to award marks.  </w:t>
            </w:r>
            <w:r>
              <w:rPr>
                <w:rFonts w:ascii="Calibri" w:cs="Calibri" w:eastAsia="Calibri" w:hAnsi="Calibri"/>
                <w:color w:val="5A6E86"/>
                <w:sz w:val="18"/>
                <w:szCs w:val="18"/>
              </w:rPr>
              <w:t xml:space="preserve">Match the team's written answer to the score bands in the rubric. Full marks name the specific product and approach, identify the real requirement behind the concern, and explain how it works and the outcome for Cedarline. Award partial marks when the answer is on the right track but misses the requirement, the approach, or the outcome. Award low marks when it only restates the concern or names no product.</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Score out of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950"/>
        <w:gridCol w:w="6160"/>
        <w:gridCol w:w="1250"/>
      </w:tblGrid>
      <w:tr>
        <w:trPr>
          <w:tblHeader/>
        </w:trPr>
        <w:tc>
          <w:tcPr>
            <w:tcW w:type="dxa" w:w="19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Dimension</w:t>
            </w:r>
          </w:p>
        </w:tc>
        <w:tc>
          <w:tcPr>
            <w:tcW w:type="dxa" w:w="616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Full-credit answer for this pain point</w:t>
            </w:r>
          </w:p>
        </w:tc>
        <w:tc>
          <w:tcPr>
            <w:tcW w:type="dxa" w:w="12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Score</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color w:val="2A3C52"/>
                <w:sz w:val="18"/>
                <w:szCs w:val="18"/>
              </w:rPr>
              <w:t xml:space="preserve">Provider-level evidence of robustness and cybersecurity under EU AI Act Article 15.</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5</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b/>
                <w:bCs/>
                <w:color w:val="0B6670"/>
                <w:sz w:val="18"/>
                <w:szCs w:val="18"/>
              </w:rPr>
              <w:t xml:space="preserve">Cisco AI Defense</w:t>
            </w:r>
            <w:r>
              <w:rPr>
                <w:rFonts w:ascii="Calibri" w:cs="Calibri" w:eastAsia="Calibri" w:hAnsi="Calibri"/>
                <w:color w:val="46566E"/>
                <w:sz w:val="18"/>
                <w:szCs w:val="18"/>
              </w:rPr>
              <w:t xml:space="preserve"> (AI Model and Application Validation)</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10</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AI Defense is specifically designed to support Provider obligations under the EU AI Act. We utilize algorithmic red teaming technology for AI Model &amp; App Validation, which identifies safety and security vulnerabilities at scale.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10</w:t>
            </w:r>
          </w:p>
        </w:tc>
      </w:tr>
      <w:tr>
        <w:tc>
          <w:tcPr>
            <w:tcW w:type="dxa" w:w="8110"/>
            <w:gridSpan w:val="2"/>
            <w:tcBorders>
              <w:top w:val="single" w:color="C4D2E2" w:sz="8"/>
              <w:left w:val="none" w:color="FFFFFF" w:sz="0"/>
              <w:bottom w:val="none" w:color="FFFFFF" w:sz="0"/>
              <w:right w:val="none" w:color="FFFFFF" w:sz="0"/>
            </w:tcBorders>
            <w:shd w:fill="EAF1F8" w:color="auto" w:val="clear"/>
            <w:tcMar>
              <w:top w:type="dxa" w:w="90"/>
              <w:left w:type="dxa" w:w="130"/>
              <w:bottom w:type="dxa" w:w="90"/>
              <w:right w:type="dxa" w:w="120"/>
            </w:tcMar>
          </w:tcPr>
          <w:p>
            <w:pPr>
              <w:spacing w:after="0" w:before="0" w:line="276"/>
            </w:pPr>
            <w:r>
              <w:rPr>
                <w:rFonts w:ascii="Calibri" w:cs="Calibri" w:eastAsia="Calibri" w:hAnsi="Calibri"/>
                <w:b/>
                <w:bCs/>
                <w:color w:val="0D274D"/>
                <w:sz w:val="18"/>
                <w:szCs w:val="18"/>
              </w:rPr>
              <w:t xml:space="preserve">Pain point total</w:t>
            </w:r>
          </w:p>
        </w:tc>
        <w:tc>
          <w:tcPr>
            <w:tcW w:type="dxa" w:w="1250"/>
            <w:tcBorders>
              <w:top w:val="single" w:color="C4D2E2" w:sz="8"/>
              <w:left w:val="none" w:color="FFFFFF" w:sz="0"/>
              <w:bottom w:val="none" w:color="FFFFFF" w:sz="0"/>
              <w:right w:val="none" w:color="FFFFFF" w:sz="0"/>
            </w:tcBorders>
            <w:shd w:fill="EAF1F8" w:color="auto" w:val="clear"/>
            <w:tcMar>
              <w:top w:type="dxa" w:w="90"/>
              <w:left w:type="dxa" w:w="100"/>
              <w:bottom w:type="dxa" w:w="90"/>
              <w:right w:type="dxa" w:w="110"/>
            </w:tcMar>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25</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Score out of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950"/>
        <w:gridCol w:w="6160"/>
        <w:gridCol w:w="1250"/>
      </w:tblGrid>
      <w:tr>
        <w:trPr>
          <w:tblHeader/>
        </w:trPr>
        <w:tc>
          <w:tcPr>
            <w:tcW w:type="dxa" w:w="19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Dimension</w:t>
            </w:r>
          </w:p>
        </w:tc>
        <w:tc>
          <w:tcPr>
            <w:tcW w:type="dxa" w:w="616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Full-credit answer for this pain point</w:t>
            </w:r>
          </w:p>
        </w:tc>
        <w:tc>
          <w:tcPr>
            <w:tcW w:type="dxa" w:w="12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Score</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color w:val="2A3C52"/>
                <w:sz w:val="18"/>
                <w:szCs w:val="18"/>
              </w:rPr>
              <w:t xml:space="preserve">Vetting AI models and third-party agents for vulnerabilities before they reach production.</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5</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b/>
                <w:bCs/>
                <w:color w:val="0B6670"/>
                <w:sz w:val="18"/>
                <w:szCs w:val="18"/>
              </w:rPr>
              <w:t xml:space="preserve">Cisco AI Defense</w:t>
            </w:r>
            <w:r>
              <w:rPr>
                <w:rFonts w:ascii="Calibri" w:cs="Calibri" w:eastAsia="Calibri" w:hAnsi="Calibri"/>
                <w:color w:val="46566E"/>
                <w:sz w:val="18"/>
                <w:szCs w:val="18"/>
              </w:rPr>
              <w:t xml:space="preserve"> (Supply Chain Risk Management)</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10</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AI Defense addresses this through proactive Supply Chain Risk Management. We scan your model files, repositories, and MCP servers to identify malicious or unsafe assets.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enables "Shift-Left" security by creating an inventory of all AI models and agents. By identifying vulnerabilities before production, it prevents the introduction of malicious code or poisoned data into your ecosystem.</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10</w:t>
            </w:r>
          </w:p>
        </w:tc>
      </w:tr>
      <w:tr>
        <w:tc>
          <w:tcPr>
            <w:tcW w:type="dxa" w:w="8110"/>
            <w:gridSpan w:val="2"/>
            <w:tcBorders>
              <w:top w:val="single" w:color="C4D2E2" w:sz="8"/>
              <w:left w:val="none" w:color="FFFFFF" w:sz="0"/>
              <w:bottom w:val="none" w:color="FFFFFF" w:sz="0"/>
              <w:right w:val="none" w:color="FFFFFF" w:sz="0"/>
            </w:tcBorders>
            <w:shd w:fill="EAF1F8" w:color="auto" w:val="clear"/>
            <w:tcMar>
              <w:top w:type="dxa" w:w="90"/>
              <w:left w:type="dxa" w:w="130"/>
              <w:bottom w:type="dxa" w:w="90"/>
              <w:right w:type="dxa" w:w="120"/>
            </w:tcMar>
          </w:tcPr>
          <w:p>
            <w:pPr>
              <w:spacing w:after="0" w:before="0" w:line="276"/>
            </w:pPr>
            <w:r>
              <w:rPr>
                <w:rFonts w:ascii="Calibri" w:cs="Calibri" w:eastAsia="Calibri" w:hAnsi="Calibri"/>
                <w:b/>
                <w:bCs/>
                <w:color w:val="0D274D"/>
                <w:sz w:val="18"/>
                <w:szCs w:val="18"/>
              </w:rPr>
              <w:t xml:space="preserve">Pain point total</w:t>
            </w:r>
          </w:p>
        </w:tc>
        <w:tc>
          <w:tcPr>
            <w:tcW w:type="dxa" w:w="1250"/>
            <w:tcBorders>
              <w:top w:val="single" w:color="C4D2E2" w:sz="8"/>
              <w:left w:val="none" w:color="FFFFFF" w:sz="0"/>
              <w:bottom w:val="none" w:color="FFFFFF" w:sz="0"/>
              <w:right w:val="none" w:color="FFFFFF" w:sz="0"/>
            </w:tcBorders>
            <w:shd w:fill="EAF1F8" w:color="auto" w:val="clear"/>
            <w:tcMar>
              <w:top w:type="dxa" w:w="90"/>
              <w:left w:type="dxa" w:w="100"/>
              <w:bottom w:type="dxa" w:w="90"/>
              <w:right w:type="dxa" w:w="110"/>
            </w:tcMar>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25</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Score out of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950"/>
        <w:gridCol w:w="6160"/>
        <w:gridCol w:w="1250"/>
      </w:tblGrid>
      <w:tr>
        <w:trPr>
          <w:tblHeader/>
        </w:trPr>
        <w:tc>
          <w:tcPr>
            <w:tcW w:type="dxa" w:w="19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Dimension</w:t>
            </w:r>
          </w:p>
        </w:tc>
        <w:tc>
          <w:tcPr>
            <w:tcW w:type="dxa" w:w="616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Full-credit answer for this pain point</w:t>
            </w:r>
          </w:p>
        </w:tc>
        <w:tc>
          <w:tcPr>
            <w:tcW w:type="dxa" w:w="12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Score</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color w:val="2A3C52"/>
                <w:sz w:val="18"/>
                <w:szCs w:val="18"/>
              </w:rPr>
              <w:t xml:space="preserve">Visibility and consistent control over AI assets (models, agents, datasets and MCP tools) across the cloud.</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5</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b/>
                <w:bCs/>
                <w:color w:val="0B6670"/>
                <w:sz w:val="18"/>
                <w:szCs w:val="18"/>
              </w:rPr>
              <w:t xml:space="preserve">Cisco AI Defense</w:t>
            </w:r>
            <w:r>
              <w:rPr>
                <w:rFonts w:ascii="Calibri" w:cs="Calibri" w:eastAsia="Calibri" w:hAnsi="Calibri"/>
                <w:color w:val="46566E"/>
                <w:sz w:val="18"/>
                <w:szCs w:val="18"/>
              </w:rPr>
              <w:t xml:space="preserve"> (AI Cloud Visibility)</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10</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the visibility gap Cisco AI Defense is built to solve. With AI Cloud Visibility, Cisco AI Defense continuously discovers AI assets across distributed cloud environments, including models, agents, datasets, MCP servers, and agent-to-tool workflows.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Identifies rogue or unsanctioned AI assets. Maps relationships across data, models, agents, and tools.</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10</w:t>
            </w:r>
          </w:p>
        </w:tc>
      </w:tr>
      <w:tr>
        <w:tc>
          <w:tcPr>
            <w:tcW w:type="dxa" w:w="8110"/>
            <w:gridSpan w:val="2"/>
            <w:tcBorders>
              <w:top w:val="single" w:color="C4D2E2" w:sz="8"/>
              <w:left w:val="none" w:color="FFFFFF" w:sz="0"/>
              <w:bottom w:val="none" w:color="FFFFFF" w:sz="0"/>
              <w:right w:val="none" w:color="FFFFFF" w:sz="0"/>
            </w:tcBorders>
            <w:shd w:fill="EAF1F8" w:color="auto" w:val="clear"/>
            <w:tcMar>
              <w:top w:type="dxa" w:w="90"/>
              <w:left w:type="dxa" w:w="130"/>
              <w:bottom w:type="dxa" w:w="90"/>
              <w:right w:type="dxa" w:w="120"/>
            </w:tcMar>
          </w:tcPr>
          <w:p>
            <w:pPr>
              <w:spacing w:after="0" w:before="0" w:line="276"/>
            </w:pPr>
            <w:r>
              <w:rPr>
                <w:rFonts w:ascii="Calibri" w:cs="Calibri" w:eastAsia="Calibri" w:hAnsi="Calibri"/>
                <w:b/>
                <w:bCs/>
                <w:color w:val="0D274D"/>
                <w:sz w:val="18"/>
                <w:szCs w:val="18"/>
              </w:rPr>
              <w:t xml:space="preserve">Pain point total</w:t>
            </w:r>
          </w:p>
        </w:tc>
        <w:tc>
          <w:tcPr>
            <w:tcW w:type="dxa" w:w="1250"/>
            <w:tcBorders>
              <w:top w:val="single" w:color="C4D2E2" w:sz="8"/>
              <w:left w:val="none" w:color="FFFFFF" w:sz="0"/>
              <w:bottom w:val="none" w:color="FFFFFF" w:sz="0"/>
              <w:right w:val="none" w:color="FFFFFF" w:sz="0"/>
            </w:tcBorders>
            <w:shd w:fill="EAF1F8" w:color="auto" w:val="clear"/>
            <w:tcMar>
              <w:top w:type="dxa" w:w="90"/>
              <w:left w:type="dxa" w:w="100"/>
              <w:bottom w:type="dxa" w:w="90"/>
              <w:right w:type="dxa" w:w="110"/>
            </w:tcMar>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25</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Score out of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950"/>
        <w:gridCol w:w="6160"/>
        <w:gridCol w:w="1250"/>
      </w:tblGrid>
      <w:tr>
        <w:trPr>
          <w:tblHeader/>
        </w:trPr>
        <w:tc>
          <w:tcPr>
            <w:tcW w:type="dxa" w:w="19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Dimension</w:t>
            </w:r>
          </w:p>
        </w:tc>
        <w:tc>
          <w:tcPr>
            <w:tcW w:type="dxa" w:w="616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Full-credit answer for this pain point</w:t>
            </w:r>
          </w:p>
        </w:tc>
        <w:tc>
          <w:tcPr>
            <w:tcW w:type="dxa" w:w="12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Score</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color w:val="2A3C52"/>
                <w:sz w:val="18"/>
                <w:szCs w:val="18"/>
              </w:rPr>
              <w:t xml:space="preserve">Seeing AI assets and third-party model usage, and enforcing runtime guardrails on AI traffic without changing applications.</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5</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b/>
                <w:bCs/>
                <w:color w:val="0B6670"/>
                <w:sz w:val="18"/>
                <w:szCs w:val="18"/>
              </w:rPr>
              <w:t xml:space="preserve">Cisco AI Defense with Cisco Multicloud Defense</w:t>
            </w:r>
            <w:r>
              <w:rPr>
                <w:rFonts w:ascii="Calibri" w:cs="Calibri" w:eastAsia="Calibri" w:hAnsi="Calibri"/>
                <w:color w:val="46566E"/>
                <w:sz w:val="18"/>
                <w:szCs w:val="18"/>
              </w:rPr>
              <w:t xml:space="preserve"> (AI Runtime Protection)</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10</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what the Cisco AI Defense-Cisco Multicloud Defense integration is designed to address. Cisco AI Defense uses the integration to discover AI assets in your cloud environments and identify external AI destinations your workloads are calling.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Finds AI assets in cloud accounts. Identifies third-party AI model usage.</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10</w:t>
            </w:r>
          </w:p>
        </w:tc>
      </w:tr>
      <w:tr>
        <w:tc>
          <w:tcPr>
            <w:tcW w:type="dxa" w:w="8110"/>
            <w:gridSpan w:val="2"/>
            <w:tcBorders>
              <w:top w:val="single" w:color="C4D2E2" w:sz="8"/>
              <w:left w:val="none" w:color="FFFFFF" w:sz="0"/>
              <w:bottom w:val="none" w:color="FFFFFF" w:sz="0"/>
              <w:right w:val="none" w:color="FFFFFF" w:sz="0"/>
            </w:tcBorders>
            <w:shd w:fill="EAF1F8" w:color="auto" w:val="clear"/>
            <w:tcMar>
              <w:top w:type="dxa" w:w="90"/>
              <w:left w:type="dxa" w:w="130"/>
              <w:bottom w:type="dxa" w:w="90"/>
              <w:right w:type="dxa" w:w="120"/>
            </w:tcMar>
          </w:tcPr>
          <w:p>
            <w:pPr>
              <w:spacing w:after="0" w:before="0" w:line="276"/>
            </w:pPr>
            <w:r>
              <w:rPr>
                <w:rFonts w:ascii="Calibri" w:cs="Calibri" w:eastAsia="Calibri" w:hAnsi="Calibri"/>
                <w:b/>
                <w:bCs/>
                <w:color w:val="0D274D"/>
                <w:sz w:val="18"/>
                <w:szCs w:val="18"/>
              </w:rPr>
              <w:t xml:space="preserve">Pain point total</w:t>
            </w:r>
          </w:p>
        </w:tc>
        <w:tc>
          <w:tcPr>
            <w:tcW w:type="dxa" w:w="1250"/>
            <w:tcBorders>
              <w:top w:val="single" w:color="C4D2E2" w:sz="8"/>
              <w:left w:val="none" w:color="FFFFFF" w:sz="0"/>
              <w:bottom w:val="none" w:color="FFFFFF" w:sz="0"/>
              <w:right w:val="none" w:color="FFFFFF" w:sz="0"/>
            </w:tcBorders>
            <w:shd w:fill="EAF1F8" w:color="auto" w:val="clear"/>
            <w:tcMar>
              <w:top w:type="dxa" w:w="90"/>
              <w:left w:type="dxa" w:w="100"/>
              <w:bottom w:type="dxa" w:w="90"/>
              <w:right w:type="dxa" w:w="110"/>
            </w:tcMar>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25</w:t>
            </w:r>
          </w:p>
        </w:tc>
      </w:tr>
    </w:tbl>
    <w:p>
      <w:pPr>
        <w:spacing w:after="1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D2E2" w:sz="6"/>
              <w:left w:val="single" w:color="C4D2E2" w:sz="6"/>
              <w:bottom w:val="single" w:color="C4D2E2" w:sz="6"/>
              <w:right w:val="single" w:color="C4D2E2" w:sz="6"/>
            </w:tcBorders>
            <w:shd w:fill="EAF1F8"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2"/>
                <w:szCs w:val="22"/>
              </w:rPr>
              <w:t xml:space="preserve">Case Study 1 score    </w:t>
            </w:r>
            <w:r>
              <w:rPr>
                <w:rFonts w:ascii="Calibri" w:cs="Calibri" w:eastAsia="Calibri" w:hAnsi="Calibri"/>
                <w:b/>
                <w:bCs/>
                <w:color w:val="0D274D"/>
                <w:sz w:val="20"/>
                <w:szCs w:val="20"/>
              </w:rPr>
              <w:t xml:space="preserve">PP1 </w:t>
            </w:r>
            <w:r>
              <w:rPr>
                <w:rFonts w:ascii="Calibri" w:cs="Calibri" w:eastAsia="Calibri" w:hAnsi="Calibri"/>
                <w:color w:val="8091A4"/>
                <w:sz w:val="20"/>
                <w:szCs w:val="20"/>
              </w:rPr>
              <w:t xml:space="preserve">_____  </w:t>
            </w:r>
            <w:r>
              <w:rPr>
                <w:rFonts w:ascii="Calibri" w:cs="Calibri" w:eastAsia="Calibri" w:hAnsi="Calibri"/>
                <w:b/>
                <w:bCs/>
                <w:color w:val="0D274D"/>
                <w:sz w:val="20"/>
                <w:szCs w:val="20"/>
              </w:rPr>
              <w:t xml:space="preserve">+  PP2 </w:t>
            </w:r>
            <w:r>
              <w:rPr>
                <w:rFonts w:ascii="Calibri" w:cs="Calibri" w:eastAsia="Calibri" w:hAnsi="Calibri"/>
                <w:color w:val="8091A4"/>
                <w:sz w:val="20"/>
                <w:szCs w:val="20"/>
              </w:rPr>
              <w:t xml:space="preserve">_____  </w:t>
            </w:r>
            <w:r>
              <w:rPr>
                <w:rFonts w:ascii="Calibri" w:cs="Calibri" w:eastAsia="Calibri" w:hAnsi="Calibri"/>
                <w:b/>
                <w:bCs/>
                <w:color w:val="0D274D"/>
                <w:sz w:val="20"/>
                <w:szCs w:val="20"/>
              </w:rPr>
              <w:t xml:space="preserve">+  PP3 </w:t>
            </w:r>
            <w:r>
              <w:rPr>
                <w:rFonts w:ascii="Calibri" w:cs="Calibri" w:eastAsia="Calibri" w:hAnsi="Calibri"/>
                <w:color w:val="8091A4"/>
                <w:sz w:val="20"/>
                <w:szCs w:val="20"/>
              </w:rPr>
              <w:t xml:space="preserve">_____  </w:t>
            </w:r>
            <w:r>
              <w:rPr>
                <w:rFonts w:ascii="Calibri" w:cs="Calibri" w:eastAsia="Calibri" w:hAnsi="Calibri"/>
                <w:b/>
                <w:bCs/>
                <w:color w:val="0D274D"/>
                <w:sz w:val="20"/>
                <w:szCs w:val="20"/>
              </w:rPr>
              <w:t xml:space="preserve">+  PP4 </w:t>
            </w:r>
            <w:r>
              <w:rPr>
                <w:rFonts w:ascii="Calibri" w:cs="Calibri" w:eastAsia="Calibri" w:hAnsi="Calibri"/>
                <w:color w:val="8091A4"/>
                <w:sz w:val="20"/>
                <w:szCs w:val="20"/>
              </w:rPr>
              <w:t xml:space="preserve">_____   </w:t>
            </w:r>
            <w:r>
              <w:rPr>
                <w:rFonts w:ascii="Calibri" w:cs="Calibri" w:eastAsia="Calibri" w:hAnsi="Calibri"/>
                <w:b/>
                <w:bCs/>
                <w:color w:val="0D274D"/>
                <w:sz w:val="20"/>
                <w:szCs w:val="20"/>
              </w:rPr>
              <w:t xml:space="preserve">=   </w:t>
            </w:r>
            <w:r>
              <w:rPr>
                <w:rFonts w:ascii="Calibri" w:cs="Calibri" w:eastAsia="Calibri" w:hAnsi="Calibri"/>
                <w:color w:val="8091A4"/>
                <w:sz w:val="20"/>
                <w:szCs w:val="20"/>
              </w:rPr>
              <w:t xml:space="preserve">________</w:t>
            </w:r>
            <w:r>
              <w:rPr>
                <w:rFonts w:ascii="Calibri" w:cs="Calibri" w:eastAsia="Calibri" w:hAnsi="Calibri"/>
                <w:b/>
                <w:bCs/>
                <w:color w:val="0D274D"/>
                <w:sz w:val="22"/>
                <w:szCs w:val="22"/>
              </w:rPr>
              <w:t xml:space="preserve"> / 100</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and coaching for this case study</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Score each pain point against its full-credit answer and the rubric, then total the case study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8"/>
                <w:szCs w:val="18"/>
              </w:rPr>
              <w:t xml:space="preserve">How to award marks.  </w:t>
            </w:r>
            <w:r>
              <w:rPr>
                <w:rFonts w:ascii="Calibri" w:cs="Calibri" w:eastAsia="Calibri" w:hAnsi="Calibri"/>
                <w:color w:val="5A6E86"/>
                <w:sz w:val="18"/>
                <w:szCs w:val="18"/>
              </w:rPr>
              <w:t xml:space="preserve">Match the team's written answer to the score bands in the rubric. Full marks name the specific product and approach, identify the real requirement behind the concern, and explain how it works and the outcome for Cedarline. Award partial marks when the answer is on the right track but misses the requirement, the approach, or the outcome. Award low marks when it only restates the concern or names no product.</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Score out of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950"/>
        <w:gridCol w:w="6160"/>
        <w:gridCol w:w="1250"/>
      </w:tblGrid>
      <w:tr>
        <w:trPr>
          <w:tblHeader/>
        </w:trPr>
        <w:tc>
          <w:tcPr>
            <w:tcW w:type="dxa" w:w="19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Dimension</w:t>
            </w:r>
          </w:p>
        </w:tc>
        <w:tc>
          <w:tcPr>
            <w:tcW w:type="dxa" w:w="616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Full-credit answer for this pain point</w:t>
            </w:r>
          </w:p>
        </w:tc>
        <w:tc>
          <w:tcPr>
            <w:tcW w:type="dxa" w:w="12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Score</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color w:val="2A3C52"/>
                <w:sz w:val="18"/>
                <w:szCs w:val="18"/>
              </w:rPr>
              <w:t xml:space="preserve">Containing lateral movement between public cloud and on-prem in a multicloud environment.</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5</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b/>
                <w:bCs/>
                <w:color w:val="0B6670"/>
                <w:sz w:val="18"/>
                <w:szCs w:val="18"/>
              </w:rPr>
              <w:t xml:space="preserve">Cisco Multicloud Defense</w:t>
            </w:r>
            <w:r>
              <w:rPr>
                <w:rFonts w:ascii="Calibri" w:cs="Calibri" w:eastAsia="Calibri" w:hAnsi="Calibri"/>
                <w:color w:val="46566E"/>
                <w:sz w:val="18"/>
                <w:szCs w:val="18"/>
              </w:rPr>
              <w:t xml:space="preserve"> (macro and micro-segmentation gateways)</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10</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provides granular visibility and control over east-west traffic. By applying Zero Trust principles across the hybrid fabric, you transform your network into a series of secure, isolated zones that prevent an attacker from pivoting through your infrastructure.</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10</w:t>
            </w:r>
          </w:p>
        </w:tc>
      </w:tr>
      <w:tr>
        <w:tc>
          <w:tcPr>
            <w:tcW w:type="dxa" w:w="8110"/>
            <w:gridSpan w:val="2"/>
            <w:tcBorders>
              <w:top w:val="single" w:color="C4D2E2" w:sz="8"/>
              <w:left w:val="none" w:color="FFFFFF" w:sz="0"/>
              <w:bottom w:val="none" w:color="FFFFFF" w:sz="0"/>
              <w:right w:val="none" w:color="FFFFFF" w:sz="0"/>
            </w:tcBorders>
            <w:shd w:fill="EAF1F8" w:color="auto" w:val="clear"/>
            <w:tcMar>
              <w:top w:type="dxa" w:w="90"/>
              <w:left w:type="dxa" w:w="130"/>
              <w:bottom w:type="dxa" w:w="90"/>
              <w:right w:type="dxa" w:w="120"/>
            </w:tcMar>
          </w:tcPr>
          <w:p>
            <w:pPr>
              <w:spacing w:after="0" w:before="0" w:line="276"/>
            </w:pPr>
            <w:r>
              <w:rPr>
                <w:rFonts w:ascii="Calibri" w:cs="Calibri" w:eastAsia="Calibri" w:hAnsi="Calibri"/>
                <w:b/>
                <w:bCs/>
                <w:color w:val="0D274D"/>
                <w:sz w:val="18"/>
                <w:szCs w:val="18"/>
              </w:rPr>
              <w:t xml:space="preserve">Pain point total</w:t>
            </w:r>
          </w:p>
        </w:tc>
        <w:tc>
          <w:tcPr>
            <w:tcW w:type="dxa" w:w="1250"/>
            <w:tcBorders>
              <w:top w:val="single" w:color="C4D2E2" w:sz="8"/>
              <w:left w:val="none" w:color="FFFFFF" w:sz="0"/>
              <w:bottom w:val="none" w:color="FFFFFF" w:sz="0"/>
              <w:right w:val="none" w:color="FFFFFF" w:sz="0"/>
            </w:tcBorders>
            <w:shd w:fill="EAF1F8" w:color="auto" w:val="clear"/>
            <w:tcMar>
              <w:top w:type="dxa" w:w="90"/>
              <w:left w:type="dxa" w:w="100"/>
              <w:bottom w:type="dxa" w:w="90"/>
              <w:right w:type="dxa" w:w="110"/>
            </w:tcMar>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25</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Score out of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950"/>
        <w:gridCol w:w="6160"/>
        <w:gridCol w:w="1250"/>
      </w:tblGrid>
      <w:tr>
        <w:trPr>
          <w:tblHeader/>
        </w:trPr>
        <w:tc>
          <w:tcPr>
            <w:tcW w:type="dxa" w:w="19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Dimension</w:t>
            </w:r>
          </w:p>
        </w:tc>
        <w:tc>
          <w:tcPr>
            <w:tcW w:type="dxa" w:w="616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Full-credit answer for this pain point</w:t>
            </w:r>
          </w:p>
        </w:tc>
        <w:tc>
          <w:tcPr>
            <w:tcW w:type="dxa" w:w="12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Score</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color w:val="2A3C52"/>
                <w:sz w:val="18"/>
                <w:szCs w:val="18"/>
              </w:rPr>
              <w:t xml:space="preserve">Consistent, auditable proof that security controls are applied across all cloud workloads.</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5</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b/>
                <w:bCs/>
                <w:color w:val="0B6670"/>
                <w:sz w:val="18"/>
                <w:szCs w:val="18"/>
              </w:rPr>
              <w:t xml:space="preserve">Cisco Multicloud Defense</w:t>
            </w:r>
            <w:r>
              <w:rPr>
                <w:rFonts w:ascii="Calibri" w:cs="Calibri" w:eastAsia="Calibri" w:hAnsi="Calibri"/>
                <w:color w:val="46566E"/>
                <w:sz w:val="18"/>
                <w:szCs w:val="18"/>
              </w:rPr>
              <w:t xml:space="preserve"> (unified logging and visibility)</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10</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collection of evidence for security audits. By consolidating logs and policy enforcement data, you create a "single source of truth" that simplifies compliance reporting and demonstrates proactive governance to regulators.</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10</w:t>
            </w:r>
          </w:p>
        </w:tc>
      </w:tr>
      <w:tr>
        <w:tc>
          <w:tcPr>
            <w:tcW w:type="dxa" w:w="8110"/>
            <w:gridSpan w:val="2"/>
            <w:tcBorders>
              <w:top w:val="single" w:color="C4D2E2" w:sz="8"/>
              <w:left w:val="none" w:color="FFFFFF" w:sz="0"/>
              <w:bottom w:val="none" w:color="FFFFFF" w:sz="0"/>
              <w:right w:val="none" w:color="FFFFFF" w:sz="0"/>
            </w:tcBorders>
            <w:shd w:fill="EAF1F8" w:color="auto" w:val="clear"/>
            <w:tcMar>
              <w:top w:type="dxa" w:w="90"/>
              <w:left w:type="dxa" w:w="130"/>
              <w:bottom w:type="dxa" w:w="90"/>
              <w:right w:type="dxa" w:w="120"/>
            </w:tcMar>
          </w:tcPr>
          <w:p>
            <w:pPr>
              <w:spacing w:after="0" w:before="0" w:line="276"/>
            </w:pPr>
            <w:r>
              <w:rPr>
                <w:rFonts w:ascii="Calibri" w:cs="Calibri" w:eastAsia="Calibri" w:hAnsi="Calibri"/>
                <w:b/>
                <w:bCs/>
                <w:color w:val="0D274D"/>
                <w:sz w:val="18"/>
                <w:szCs w:val="18"/>
              </w:rPr>
              <w:t xml:space="preserve">Pain point total</w:t>
            </w:r>
          </w:p>
        </w:tc>
        <w:tc>
          <w:tcPr>
            <w:tcW w:type="dxa" w:w="1250"/>
            <w:tcBorders>
              <w:top w:val="single" w:color="C4D2E2" w:sz="8"/>
              <w:left w:val="none" w:color="FFFFFF" w:sz="0"/>
              <w:bottom w:val="none" w:color="FFFFFF" w:sz="0"/>
              <w:right w:val="none" w:color="FFFFFF" w:sz="0"/>
            </w:tcBorders>
            <w:shd w:fill="EAF1F8" w:color="auto" w:val="clear"/>
            <w:tcMar>
              <w:top w:type="dxa" w:w="90"/>
              <w:left w:type="dxa" w:w="100"/>
              <w:bottom w:type="dxa" w:w="90"/>
              <w:right w:type="dxa" w:w="110"/>
            </w:tcMar>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25</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Score out of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950"/>
        <w:gridCol w:w="6160"/>
        <w:gridCol w:w="1250"/>
      </w:tblGrid>
      <w:tr>
        <w:trPr>
          <w:tblHeader/>
        </w:trPr>
        <w:tc>
          <w:tcPr>
            <w:tcW w:type="dxa" w:w="19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Dimension</w:t>
            </w:r>
          </w:p>
        </w:tc>
        <w:tc>
          <w:tcPr>
            <w:tcW w:type="dxa" w:w="616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Full-credit answer for this pain point</w:t>
            </w:r>
          </w:p>
        </w:tc>
        <w:tc>
          <w:tcPr>
            <w:tcW w:type="dxa" w:w="12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Score</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color w:val="2A3C52"/>
                <w:sz w:val="18"/>
                <w:szCs w:val="18"/>
              </w:rPr>
              <w:t xml:space="preserve">One consistent policy model across AWS, Azure and on-prem, without per-cloud overhead.</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5</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b/>
                <w:bCs/>
                <w:color w:val="0B6670"/>
                <w:sz w:val="18"/>
                <w:szCs w:val="18"/>
              </w:rPr>
              <w:t xml:space="preserve">Cisco Multicloud Defense</w:t>
            </w:r>
            <w:r>
              <w:rPr>
                <w:rFonts w:ascii="Calibri" w:cs="Calibri" w:eastAsia="Calibri" w:hAnsi="Calibri"/>
                <w:color w:val="46566E"/>
                <w:sz w:val="18"/>
                <w:szCs w:val="18"/>
              </w:rPr>
              <w:t xml:space="preserve"> (unified policy across public clouds)</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10</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replaces siloed, manual configuration with centralized orchestration. By abstracting the security policy from the cloud-native tools, it ensures that your security posture is uniform and eliminates the "configuration drift" that occurs when managing multiple cloud consoles.</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10</w:t>
            </w:r>
          </w:p>
        </w:tc>
      </w:tr>
      <w:tr>
        <w:tc>
          <w:tcPr>
            <w:tcW w:type="dxa" w:w="8110"/>
            <w:gridSpan w:val="2"/>
            <w:tcBorders>
              <w:top w:val="single" w:color="C4D2E2" w:sz="8"/>
              <w:left w:val="none" w:color="FFFFFF" w:sz="0"/>
              <w:bottom w:val="none" w:color="FFFFFF" w:sz="0"/>
              <w:right w:val="none" w:color="FFFFFF" w:sz="0"/>
            </w:tcBorders>
            <w:shd w:fill="EAF1F8" w:color="auto" w:val="clear"/>
            <w:tcMar>
              <w:top w:type="dxa" w:w="90"/>
              <w:left w:type="dxa" w:w="130"/>
              <w:bottom w:type="dxa" w:w="90"/>
              <w:right w:type="dxa" w:w="120"/>
            </w:tcMar>
          </w:tcPr>
          <w:p>
            <w:pPr>
              <w:spacing w:after="0" w:before="0" w:line="276"/>
            </w:pPr>
            <w:r>
              <w:rPr>
                <w:rFonts w:ascii="Calibri" w:cs="Calibri" w:eastAsia="Calibri" w:hAnsi="Calibri"/>
                <w:b/>
                <w:bCs/>
                <w:color w:val="0D274D"/>
                <w:sz w:val="18"/>
                <w:szCs w:val="18"/>
              </w:rPr>
              <w:t xml:space="preserve">Pain point total</w:t>
            </w:r>
          </w:p>
        </w:tc>
        <w:tc>
          <w:tcPr>
            <w:tcW w:type="dxa" w:w="1250"/>
            <w:tcBorders>
              <w:top w:val="single" w:color="C4D2E2" w:sz="8"/>
              <w:left w:val="none" w:color="FFFFFF" w:sz="0"/>
              <w:bottom w:val="none" w:color="FFFFFF" w:sz="0"/>
              <w:right w:val="none" w:color="FFFFFF" w:sz="0"/>
            </w:tcBorders>
            <w:shd w:fill="EAF1F8" w:color="auto" w:val="clear"/>
            <w:tcMar>
              <w:top w:type="dxa" w:w="90"/>
              <w:left w:type="dxa" w:w="100"/>
              <w:bottom w:type="dxa" w:w="90"/>
              <w:right w:type="dxa" w:w="110"/>
            </w:tcMar>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25</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Score out of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950"/>
        <w:gridCol w:w="6160"/>
        <w:gridCol w:w="1250"/>
      </w:tblGrid>
      <w:tr>
        <w:trPr>
          <w:tblHeader/>
        </w:trPr>
        <w:tc>
          <w:tcPr>
            <w:tcW w:type="dxa" w:w="19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Dimension</w:t>
            </w:r>
          </w:p>
        </w:tc>
        <w:tc>
          <w:tcPr>
            <w:tcW w:type="dxa" w:w="616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Full-credit answer for this pain point</w:t>
            </w:r>
          </w:p>
        </w:tc>
        <w:tc>
          <w:tcPr>
            <w:tcW w:type="dxa" w:w="12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Score</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color w:val="2A3C52"/>
                <w:sz w:val="18"/>
                <w:szCs w:val="18"/>
              </w:rPr>
              <w:t xml:space="preserve">Unified segmentation that prevents policy drift across hybrid and multicloud.</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5</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b/>
                <w:bCs/>
                <w:color w:val="0B6670"/>
                <w:sz w:val="18"/>
                <w:szCs w:val="18"/>
              </w:rPr>
              <w:t xml:space="preserve">Cisco Secure Workload with Cisco Secure Firewall</w:t>
            </w:r>
            <w:r>
              <w:rPr>
                <w:rFonts w:ascii="Calibri" w:cs="Calibri" w:eastAsia="Calibri" w:hAnsi="Calibri"/>
                <w:color w:val="46566E"/>
                <w:sz w:val="18"/>
                <w:szCs w:val="18"/>
              </w:rPr>
              <w:t xml:space="preserve"> (managed via FMC and Security Cloud Control)</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10</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a common hybrid environment challenge. Cisco Secure Workload helps create a more unified segmentation model by using application dependency awareness and AI/ML-driven policy discovery to define policy based on how workloads actually communicate.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Reduces policy drift across hybrid and multicloud environments. Aligns policy to application behavior, not just static IP-based rules.</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10</w:t>
            </w:r>
          </w:p>
        </w:tc>
      </w:tr>
      <w:tr>
        <w:tc>
          <w:tcPr>
            <w:tcW w:type="dxa" w:w="8110"/>
            <w:gridSpan w:val="2"/>
            <w:tcBorders>
              <w:top w:val="single" w:color="C4D2E2" w:sz="8"/>
              <w:left w:val="none" w:color="FFFFFF" w:sz="0"/>
              <w:bottom w:val="none" w:color="FFFFFF" w:sz="0"/>
              <w:right w:val="none" w:color="FFFFFF" w:sz="0"/>
            </w:tcBorders>
            <w:shd w:fill="EAF1F8" w:color="auto" w:val="clear"/>
            <w:tcMar>
              <w:top w:type="dxa" w:w="90"/>
              <w:left w:type="dxa" w:w="130"/>
              <w:bottom w:type="dxa" w:w="90"/>
              <w:right w:type="dxa" w:w="120"/>
            </w:tcMar>
          </w:tcPr>
          <w:p>
            <w:pPr>
              <w:spacing w:after="0" w:before="0" w:line="276"/>
            </w:pPr>
            <w:r>
              <w:rPr>
                <w:rFonts w:ascii="Calibri" w:cs="Calibri" w:eastAsia="Calibri" w:hAnsi="Calibri"/>
                <w:b/>
                <w:bCs/>
                <w:color w:val="0D274D"/>
                <w:sz w:val="18"/>
                <w:szCs w:val="18"/>
              </w:rPr>
              <w:t xml:space="preserve">Pain point total</w:t>
            </w:r>
          </w:p>
        </w:tc>
        <w:tc>
          <w:tcPr>
            <w:tcW w:type="dxa" w:w="1250"/>
            <w:tcBorders>
              <w:top w:val="single" w:color="C4D2E2" w:sz="8"/>
              <w:left w:val="none" w:color="FFFFFF" w:sz="0"/>
              <w:bottom w:val="none" w:color="FFFFFF" w:sz="0"/>
              <w:right w:val="none" w:color="FFFFFF" w:sz="0"/>
            </w:tcBorders>
            <w:shd w:fill="EAF1F8" w:color="auto" w:val="clear"/>
            <w:tcMar>
              <w:top w:type="dxa" w:w="90"/>
              <w:left w:type="dxa" w:w="100"/>
              <w:bottom w:type="dxa" w:w="90"/>
              <w:right w:type="dxa" w:w="110"/>
            </w:tcMar>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25</w:t>
            </w:r>
          </w:p>
        </w:tc>
      </w:tr>
    </w:tbl>
    <w:p>
      <w:pPr>
        <w:spacing w:after="1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D2E2" w:sz="6"/>
              <w:left w:val="single" w:color="C4D2E2" w:sz="6"/>
              <w:bottom w:val="single" w:color="C4D2E2" w:sz="6"/>
              <w:right w:val="single" w:color="C4D2E2" w:sz="6"/>
            </w:tcBorders>
            <w:shd w:fill="EAF1F8"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2"/>
                <w:szCs w:val="22"/>
              </w:rPr>
              <w:t xml:space="preserve">Case Study 2 score    </w:t>
            </w:r>
            <w:r>
              <w:rPr>
                <w:rFonts w:ascii="Calibri" w:cs="Calibri" w:eastAsia="Calibri" w:hAnsi="Calibri"/>
                <w:b/>
                <w:bCs/>
                <w:color w:val="0D274D"/>
                <w:sz w:val="20"/>
                <w:szCs w:val="20"/>
              </w:rPr>
              <w:t xml:space="preserve">PP1 </w:t>
            </w:r>
            <w:r>
              <w:rPr>
                <w:rFonts w:ascii="Calibri" w:cs="Calibri" w:eastAsia="Calibri" w:hAnsi="Calibri"/>
                <w:color w:val="8091A4"/>
                <w:sz w:val="20"/>
                <w:szCs w:val="20"/>
              </w:rPr>
              <w:t xml:space="preserve">_____  </w:t>
            </w:r>
            <w:r>
              <w:rPr>
                <w:rFonts w:ascii="Calibri" w:cs="Calibri" w:eastAsia="Calibri" w:hAnsi="Calibri"/>
                <w:b/>
                <w:bCs/>
                <w:color w:val="0D274D"/>
                <w:sz w:val="20"/>
                <w:szCs w:val="20"/>
              </w:rPr>
              <w:t xml:space="preserve">+  PP2 </w:t>
            </w:r>
            <w:r>
              <w:rPr>
                <w:rFonts w:ascii="Calibri" w:cs="Calibri" w:eastAsia="Calibri" w:hAnsi="Calibri"/>
                <w:color w:val="8091A4"/>
                <w:sz w:val="20"/>
                <w:szCs w:val="20"/>
              </w:rPr>
              <w:t xml:space="preserve">_____  </w:t>
            </w:r>
            <w:r>
              <w:rPr>
                <w:rFonts w:ascii="Calibri" w:cs="Calibri" w:eastAsia="Calibri" w:hAnsi="Calibri"/>
                <w:b/>
                <w:bCs/>
                <w:color w:val="0D274D"/>
                <w:sz w:val="20"/>
                <w:szCs w:val="20"/>
              </w:rPr>
              <w:t xml:space="preserve">+  PP3 </w:t>
            </w:r>
            <w:r>
              <w:rPr>
                <w:rFonts w:ascii="Calibri" w:cs="Calibri" w:eastAsia="Calibri" w:hAnsi="Calibri"/>
                <w:color w:val="8091A4"/>
                <w:sz w:val="20"/>
                <w:szCs w:val="20"/>
              </w:rPr>
              <w:t xml:space="preserve">_____  </w:t>
            </w:r>
            <w:r>
              <w:rPr>
                <w:rFonts w:ascii="Calibri" w:cs="Calibri" w:eastAsia="Calibri" w:hAnsi="Calibri"/>
                <w:b/>
                <w:bCs/>
                <w:color w:val="0D274D"/>
                <w:sz w:val="20"/>
                <w:szCs w:val="20"/>
              </w:rPr>
              <w:t xml:space="preserve">+  PP4 </w:t>
            </w:r>
            <w:r>
              <w:rPr>
                <w:rFonts w:ascii="Calibri" w:cs="Calibri" w:eastAsia="Calibri" w:hAnsi="Calibri"/>
                <w:color w:val="8091A4"/>
                <w:sz w:val="20"/>
                <w:szCs w:val="20"/>
              </w:rPr>
              <w:t xml:space="preserve">_____   </w:t>
            </w:r>
            <w:r>
              <w:rPr>
                <w:rFonts w:ascii="Calibri" w:cs="Calibri" w:eastAsia="Calibri" w:hAnsi="Calibri"/>
                <w:b/>
                <w:bCs/>
                <w:color w:val="0D274D"/>
                <w:sz w:val="20"/>
                <w:szCs w:val="20"/>
              </w:rPr>
              <w:t xml:space="preserve">=   </w:t>
            </w:r>
            <w:r>
              <w:rPr>
                <w:rFonts w:ascii="Calibri" w:cs="Calibri" w:eastAsia="Calibri" w:hAnsi="Calibri"/>
                <w:color w:val="8091A4"/>
                <w:sz w:val="20"/>
                <w:szCs w:val="20"/>
              </w:rPr>
              <w:t xml:space="preserve">________</w:t>
            </w:r>
            <w:r>
              <w:rPr>
                <w:rFonts w:ascii="Calibri" w:cs="Calibri" w:eastAsia="Calibri" w:hAnsi="Calibri"/>
                <w:b/>
                <w:bCs/>
                <w:color w:val="0D274D"/>
                <w:sz w:val="22"/>
                <w:szCs w:val="22"/>
              </w:rPr>
              <w:t xml:space="preserve"> / 100</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and coaching for this case study</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Score each pain point against its full-credit answer and the rubric, then total the case study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8"/>
                <w:szCs w:val="18"/>
              </w:rPr>
              <w:t xml:space="preserve">How to award marks.  </w:t>
            </w:r>
            <w:r>
              <w:rPr>
                <w:rFonts w:ascii="Calibri" w:cs="Calibri" w:eastAsia="Calibri" w:hAnsi="Calibri"/>
                <w:color w:val="5A6E86"/>
                <w:sz w:val="18"/>
                <w:szCs w:val="18"/>
              </w:rPr>
              <w:t xml:space="preserve">Match the team's written answer to the score bands in the rubric. Full marks name the specific product and approach, identify the real requirement behind the concern, and explain how it works and the outcome for Cedarline. Award partial marks when the answer is on the right track but misses the requirement, the approach, or the outcome. Award low marks when it only restates the concern or names no product.</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Score out of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950"/>
        <w:gridCol w:w="6160"/>
        <w:gridCol w:w="1250"/>
      </w:tblGrid>
      <w:tr>
        <w:trPr>
          <w:tblHeader/>
        </w:trPr>
        <w:tc>
          <w:tcPr>
            <w:tcW w:type="dxa" w:w="19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Dimension</w:t>
            </w:r>
          </w:p>
        </w:tc>
        <w:tc>
          <w:tcPr>
            <w:tcW w:type="dxa" w:w="616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Full-credit answer for this pain point</w:t>
            </w:r>
          </w:p>
        </w:tc>
        <w:tc>
          <w:tcPr>
            <w:tcW w:type="dxa" w:w="12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Score</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color w:val="2A3C52"/>
                <w:sz w:val="18"/>
                <w:szCs w:val="18"/>
              </w:rPr>
              <w:t xml:space="preserve">Automated, real-time isolation of a compromised device, faster than a manual response.</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5</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b/>
                <w:bCs/>
                <w:color w:val="0B6670"/>
                <w:sz w:val="18"/>
                <w:szCs w:val="18"/>
              </w:rPr>
              <w:t xml:space="preserve">Cisco ISE</w:t>
            </w:r>
            <w:r>
              <w:rPr>
                <w:rFonts w:ascii="Calibri" w:cs="Calibri" w:eastAsia="Calibri" w:hAnsi="Calibri"/>
                <w:color w:val="46566E"/>
                <w:sz w:val="18"/>
                <w:szCs w:val="18"/>
              </w:rPr>
              <w:t xml:space="preserve"> (Security Group Tags via pxGrid and Adaptive Network Control)</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10</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ISE integrates with your security ecosystem via pxGrid and Adaptive Network Control (ANC). When a threat is detected, ISE can automatically trigger a quarantine policy, isolating the compromised device in real-time without requiring manual intervention.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"Response" phase of the incident lifecycle. By bridging the gap between detection and enforcement, it stops threats at the speed of the network.</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10</w:t>
            </w:r>
          </w:p>
        </w:tc>
      </w:tr>
      <w:tr>
        <w:tc>
          <w:tcPr>
            <w:tcW w:type="dxa" w:w="8110"/>
            <w:gridSpan w:val="2"/>
            <w:tcBorders>
              <w:top w:val="single" w:color="C4D2E2" w:sz="8"/>
              <w:left w:val="none" w:color="FFFFFF" w:sz="0"/>
              <w:bottom w:val="none" w:color="FFFFFF" w:sz="0"/>
              <w:right w:val="none" w:color="FFFFFF" w:sz="0"/>
            </w:tcBorders>
            <w:shd w:fill="EAF1F8" w:color="auto" w:val="clear"/>
            <w:tcMar>
              <w:top w:type="dxa" w:w="90"/>
              <w:left w:type="dxa" w:w="130"/>
              <w:bottom w:type="dxa" w:w="90"/>
              <w:right w:type="dxa" w:w="120"/>
            </w:tcMar>
          </w:tcPr>
          <w:p>
            <w:pPr>
              <w:spacing w:after="0" w:before="0" w:line="276"/>
            </w:pPr>
            <w:r>
              <w:rPr>
                <w:rFonts w:ascii="Calibri" w:cs="Calibri" w:eastAsia="Calibri" w:hAnsi="Calibri"/>
                <w:b/>
                <w:bCs/>
                <w:color w:val="0D274D"/>
                <w:sz w:val="18"/>
                <w:szCs w:val="18"/>
              </w:rPr>
              <w:t xml:space="preserve">Pain point total</w:t>
            </w:r>
          </w:p>
        </w:tc>
        <w:tc>
          <w:tcPr>
            <w:tcW w:type="dxa" w:w="1250"/>
            <w:tcBorders>
              <w:top w:val="single" w:color="C4D2E2" w:sz="8"/>
              <w:left w:val="none" w:color="FFFFFF" w:sz="0"/>
              <w:bottom w:val="none" w:color="FFFFFF" w:sz="0"/>
              <w:right w:val="none" w:color="FFFFFF" w:sz="0"/>
            </w:tcBorders>
            <w:shd w:fill="EAF1F8" w:color="auto" w:val="clear"/>
            <w:tcMar>
              <w:top w:type="dxa" w:w="90"/>
              <w:left w:type="dxa" w:w="100"/>
              <w:bottom w:type="dxa" w:w="90"/>
              <w:right w:type="dxa" w:w="110"/>
            </w:tcMar>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25</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Score out of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950"/>
        <w:gridCol w:w="6160"/>
        <w:gridCol w:w="1250"/>
      </w:tblGrid>
      <w:tr>
        <w:trPr>
          <w:tblHeader/>
        </w:trPr>
        <w:tc>
          <w:tcPr>
            <w:tcW w:type="dxa" w:w="19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Dimension</w:t>
            </w:r>
          </w:p>
        </w:tc>
        <w:tc>
          <w:tcPr>
            <w:tcW w:type="dxa" w:w="616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Full-credit answer for this pain point</w:t>
            </w:r>
          </w:p>
        </w:tc>
        <w:tc>
          <w:tcPr>
            <w:tcW w:type="dxa" w:w="12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Score</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color w:val="2A3C52"/>
                <w:sz w:val="18"/>
                <w:szCs w:val="18"/>
              </w:rPr>
              <w:t xml:space="preserve">Simplifying and cleaning up firewall policy administration at scale.</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5</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b/>
                <w:bCs/>
                <w:color w:val="0B6670"/>
                <w:sz w:val="18"/>
                <w:szCs w:val="18"/>
              </w:rPr>
              <w:t xml:space="preserve">Cisco Security Cloud Control with FMC and Cisco Secure Firewall</w:t>
            </w:r>
            <w:r>
              <w:rPr>
                <w:rFonts w:ascii="Calibri" w:cs="Calibri" w:eastAsia="Calibri" w:hAnsi="Calibri"/>
                <w:color w:val="46566E"/>
                <w:sz w:val="18"/>
                <w:szCs w:val="18"/>
              </w:rPr>
              <w:t xml:space="preserve"> (unified policy administration)</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10</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applies AI-driven analysis to firewall telemetry and policy data to surface optimization opportunities, reduce manual troubleshooting, and guide cleaner policy administration.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Reduces manual policy review; identifies redundant/stale rules; lowers risk from human error.</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10</w:t>
            </w:r>
          </w:p>
        </w:tc>
      </w:tr>
      <w:tr>
        <w:tc>
          <w:tcPr>
            <w:tcW w:type="dxa" w:w="8110"/>
            <w:gridSpan w:val="2"/>
            <w:tcBorders>
              <w:top w:val="single" w:color="C4D2E2" w:sz="8"/>
              <w:left w:val="none" w:color="FFFFFF" w:sz="0"/>
              <w:bottom w:val="none" w:color="FFFFFF" w:sz="0"/>
              <w:right w:val="none" w:color="FFFFFF" w:sz="0"/>
            </w:tcBorders>
            <w:shd w:fill="EAF1F8" w:color="auto" w:val="clear"/>
            <w:tcMar>
              <w:top w:type="dxa" w:w="90"/>
              <w:left w:type="dxa" w:w="130"/>
              <w:bottom w:type="dxa" w:w="90"/>
              <w:right w:type="dxa" w:w="120"/>
            </w:tcMar>
          </w:tcPr>
          <w:p>
            <w:pPr>
              <w:spacing w:after="0" w:before="0" w:line="276"/>
            </w:pPr>
            <w:r>
              <w:rPr>
                <w:rFonts w:ascii="Calibri" w:cs="Calibri" w:eastAsia="Calibri" w:hAnsi="Calibri"/>
                <w:b/>
                <w:bCs/>
                <w:color w:val="0D274D"/>
                <w:sz w:val="18"/>
                <w:szCs w:val="18"/>
              </w:rPr>
              <w:t xml:space="preserve">Pain point total</w:t>
            </w:r>
          </w:p>
        </w:tc>
        <w:tc>
          <w:tcPr>
            <w:tcW w:type="dxa" w:w="1250"/>
            <w:tcBorders>
              <w:top w:val="single" w:color="C4D2E2" w:sz="8"/>
              <w:left w:val="none" w:color="FFFFFF" w:sz="0"/>
              <w:bottom w:val="none" w:color="FFFFFF" w:sz="0"/>
              <w:right w:val="none" w:color="FFFFFF" w:sz="0"/>
            </w:tcBorders>
            <w:shd w:fill="EAF1F8" w:color="auto" w:val="clear"/>
            <w:tcMar>
              <w:top w:type="dxa" w:w="90"/>
              <w:left w:type="dxa" w:w="100"/>
              <w:bottom w:type="dxa" w:w="90"/>
              <w:right w:type="dxa" w:w="110"/>
            </w:tcMar>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25</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Score out of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950"/>
        <w:gridCol w:w="6160"/>
        <w:gridCol w:w="1250"/>
      </w:tblGrid>
      <w:tr>
        <w:trPr>
          <w:tblHeader/>
        </w:trPr>
        <w:tc>
          <w:tcPr>
            <w:tcW w:type="dxa" w:w="19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Dimension</w:t>
            </w:r>
          </w:p>
        </w:tc>
        <w:tc>
          <w:tcPr>
            <w:tcW w:type="dxa" w:w="616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Full-credit answer for this pain point</w:t>
            </w:r>
          </w:p>
        </w:tc>
        <w:tc>
          <w:tcPr>
            <w:tcW w:type="dxa" w:w="12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Score</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color w:val="2A3C52"/>
                <w:sz w:val="18"/>
                <w:szCs w:val="18"/>
              </w:rPr>
              <w:t xml:space="preserve">Restoring visibility into encrypted traffic without decrypting everything.</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5</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b/>
                <w:bCs/>
                <w:color w:val="0B6670"/>
                <w:sz w:val="18"/>
                <w:szCs w:val="18"/>
              </w:rPr>
              <w:t xml:space="preserve">Cisco Secure Firewall with the Encrypted Visibility Engine</w:t>
            </w:r>
            <w:r>
              <w:rPr>
                <w:rFonts w:ascii="Calibri" w:cs="Calibri" w:eastAsia="Calibri" w:hAnsi="Calibri"/>
                <w:color w:val="46566E"/>
                <w:sz w:val="18"/>
                <w:szCs w:val="18"/>
              </w:rPr>
              <w:t xml:space="preserve"> (EVE)</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10</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Encrypted Visibility Engine (EVE) uses AI/ML-based fingerprinting to analyze encrypted traffic patterns and identify suspicious behavior without decrypting the payload.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Restores visibility into encrypted blind spots; avoids the performance/privacy overhead of decrypt-everything strategies.</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10</w:t>
            </w:r>
          </w:p>
        </w:tc>
      </w:tr>
      <w:tr>
        <w:tc>
          <w:tcPr>
            <w:tcW w:type="dxa" w:w="8110"/>
            <w:gridSpan w:val="2"/>
            <w:tcBorders>
              <w:top w:val="single" w:color="C4D2E2" w:sz="8"/>
              <w:left w:val="none" w:color="FFFFFF" w:sz="0"/>
              <w:bottom w:val="none" w:color="FFFFFF" w:sz="0"/>
              <w:right w:val="none" w:color="FFFFFF" w:sz="0"/>
            </w:tcBorders>
            <w:shd w:fill="EAF1F8" w:color="auto" w:val="clear"/>
            <w:tcMar>
              <w:top w:type="dxa" w:w="90"/>
              <w:left w:type="dxa" w:w="130"/>
              <w:bottom w:type="dxa" w:w="90"/>
              <w:right w:type="dxa" w:w="120"/>
            </w:tcMar>
          </w:tcPr>
          <w:p>
            <w:pPr>
              <w:spacing w:after="0" w:before="0" w:line="276"/>
            </w:pPr>
            <w:r>
              <w:rPr>
                <w:rFonts w:ascii="Calibri" w:cs="Calibri" w:eastAsia="Calibri" w:hAnsi="Calibri"/>
                <w:b/>
                <w:bCs/>
                <w:color w:val="0D274D"/>
                <w:sz w:val="18"/>
                <w:szCs w:val="18"/>
              </w:rPr>
              <w:t xml:space="preserve">Pain point total</w:t>
            </w:r>
          </w:p>
        </w:tc>
        <w:tc>
          <w:tcPr>
            <w:tcW w:type="dxa" w:w="1250"/>
            <w:tcBorders>
              <w:top w:val="single" w:color="C4D2E2" w:sz="8"/>
              <w:left w:val="none" w:color="FFFFFF" w:sz="0"/>
              <w:bottom w:val="none" w:color="FFFFFF" w:sz="0"/>
              <w:right w:val="none" w:color="FFFFFF" w:sz="0"/>
            </w:tcBorders>
            <w:shd w:fill="EAF1F8" w:color="auto" w:val="clear"/>
            <w:tcMar>
              <w:top w:type="dxa" w:w="90"/>
              <w:left w:type="dxa" w:w="100"/>
              <w:bottom w:type="dxa" w:w="90"/>
              <w:right w:type="dxa" w:w="110"/>
            </w:tcMar>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25</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Score out of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950"/>
        <w:gridCol w:w="6160"/>
        <w:gridCol w:w="1250"/>
      </w:tblGrid>
      <w:tr>
        <w:trPr>
          <w:tblHeader/>
        </w:trPr>
        <w:tc>
          <w:tcPr>
            <w:tcW w:type="dxa" w:w="19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Dimension</w:t>
            </w:r>
          </w:p>
        </w:tc>
        <w:tc>
          <w:tcPr>
            <w:tcW w:type="dxa" w:w="616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Full-credit answer for this pain point</w:t>
            </w:r>
          </w:p>
        </w:tc>
        <w:tc>
          <w:tcPr>
            <w:tcW w:type="dxa" w:w="12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Score</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color w:val="2A3C52"/>
                <w:sz w:val="18"/>
                <w:szCs w:val="18"/>
              </w:rPr>
              <w:t xml:space="preserve">Detecting unknown and zero-day threats beyond signature-based detection.</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5</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b/>
                <w:bCs/>
                <w:color w:val="0B6670"/>
                <w:sz w:val="18"/>
                <w:szCs w:val="18"/>
              </w:rPr>
              <w:t xml:space="preserve">Cisco Secure Firewall with Snort ML</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10</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where Snort ML helps. It adds machine-learning-based detection inside the Snort 3 engine to identify exploit behavior associated with unknown/zero-day threats.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Addresses the gap between known and unknown threat detection; reduces dependence on signature timing.</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10</w:t>
            </w:r>
          </w:p>
        </w:tc>
      </w:tr>
      <w:tr>
        <w:tc>
          <w:tcPr>
            <w:tcW w:type="dxa" w:w="8110"/>
            <w:gridSpan w:val="2"/>
            <w:tcBorders>
              <w:top w:val="single" w:color="C4D2E2" w:sz="8"/>
              <w:left w:val="none" w:color="FFFFFF" w:sz="0"/>
              <w:bottom w:val="none" w:color="FFFFFF" w:sz="0"/>
              <w:right w:val="none" w:color="FFFFFF" w:sz="0"/>
            </w:tcBorders>
            <w:shd w:fill="EAF1F8" w:color="auto" w:val="clear"/>
            <w:tcMar>
              <w:top w:type="dxa" w:w="90"/>
              <w:left w:type="dxa" w:w="130"/>
              <w:bottom w:type="dxa" w:w="90"/>
              <w:right w:type="dxa" w:w="120"/>
            </w:tcMar>
          </w:tcPr>
          <w:p>
            <w:pPr>
              <w:spacing w:after="0" w:before="0" w:line="276"/>
            </w:pPr>
            <w:r>
              <w:rPr>
                <w:rFonts w:ascii="Calibri" w:cs="Calibri" w:eastAsia="Calibri" w:hAnsi="Calibri"/>
                <w:b/>
                <w:bCs/>
                <w:color w:val="0D274D"/>
                <w:sz w:val="18"/>
                <w:szCs w:val="18"/>
              </w:rPr>
              <w:t xml:space="preserve">Pain point total</w:t>
            </w:r>
          </w:p>
        </w:tc>
        <w:tc>
          <w:tcPr>
            <w:tcW w:type="dxa" w:w="1250"/>
            <w:tcBorders>
              <w:top w:val="single" w:color="C4D2E2" w:sz="8"/>
              <w:left w:val="none" w:color="FFFFFF" w:sz="0"/>
              <w:bottom w:val="none" w:color="FFFFFF" w:sz="0"/>
              <w:right w:val="none" w:color="FFFFFF" w:sz="0"/>
            </w:tcBorders>
            <w:shd w:fill="EAF1F8" w:color="auto" w:val="clear"/>
            <w:tcMar>
              <w:top w:type="dxa" w:w="90"/>
              <w:left w:type="dxa" w:w="100"/>
              <w:bottom w:type="dxa" w:w="90"/>
              <w:right w:type="dxa" w:w="110"/>
            </w:tcMar>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25</w:t>
            </w:r>
          </w:p>
        </w:tc>
      </w:tr>
    </w:tbl>
    <w:p>
      <w:pPr>
        <w:spacing w:after="1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D2E2" w:sz="6"/>
              <w:left w:val="single" w:color="C4D2E2" w:sz="6"/>
              <w:bottom w:val="single" w:color="C4D2E2" w:sz="6"/>
              <w:right w:val="single" w:color="C4D2E2" w:sz="6"/>
            </w:tcBorders>
            <w:shd w:fill="EAF1F8"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2"/>
                <w:szCs w:val="22"/>
              </w:rPr>
              <w:t xml:space="preserve">Case Study 3 score    </w:t>
            </w:r>
            <w:r>
              <w:rPr>
                <w:rFonts w:ascii="Calibri" w:cs="Calibri" w:eastAsia="Calibri" w:hAnsi="Calibri"/>
                <w:b/>
                <w:bCs/>
                <w:color w:val="0D274D"/>
                <w:sz w:val="20"/>
                <w:szCs w:val="20"/>
              </w:rPr>
              <w:t xml:space="preserve">PP1 </w:t>
            </w:r>
            <w:r>
              <w:rPr>
                <w:rFonts w:ascii="Calibri" w:cs="Calibri" w:eastAsia="Calibri" w:hAnsi="Calibri"/>
                <w:color w:val="8091A4"/>
                <w:sz w:val="20"/>
                <w:szCs w:val="20"/>
              </w:rPr>
              <w:t xml:space="preserve">_____  </w:t>
            </w:r>
            <w:r>
              <w:rPr>
                <w:rFonts w:ascii="Calibri" w:cs="Calibri" w:eastAsia="Calibri" w:hAnsi="Calibri"/>
                <w:b/>
                <w:bCs/>
                <w:color w:val="0D274D"/>
                <w:sz w:val="20"/>
                <w:szCs w:val="20"/>
              </w:rPr>
              <w:t xml:space="preserve">+  PP2 </w:t>
            </w:r>
            <w:r>
              <w:rPr>
                <w:rFonts w:ascii="Calibri" w:cs="Calibri" w:eastAsia="Calibri" w:hAnsi="Calibri"/>
                <w:color w:val="8091A4"/>
                <w:sz w:val="20"/>
                <w:szCs w:val="20"/>
              </w:rPr>
              <w:t xml:space="preserve">_____  </w:t>
            </w:r>
            <w:r>
              <w:rPr>
                <w:rFonts w:ascii="Calibri" w:cs="Calibri" w:eastAsia="Calibri" w:hAnsi="Calibri"/>
                <w:b/>
                <w:bCs/>
                <w:color w:val="0D274D"/>
                <w:sz w:val="20"/>
                <w:szCs w:val="20"/>
              </w:rPr>
              <w:t xml:space="preserve">+  PP3 </w:t>
            </w:r>
            <w:r>
              <w:rPr>
                <w:rFonts w:ascii="Calibri" w:cs="Calibri" w:eastAsia="Calibri" w:hAnsi="Calibri"/>
                <w:color w:val="8091A4"/>
                <w:sz w:val="20"/>
                <w:szCs w:val="20"/>
              </w:rPr>
              <w:t xml:space="preserve">_____  </w:t>
            </w:r>
            <w:r>
              <w:rPr>
                <w:rFonts w:ascii="Calibri" w:cs="Calibri" w:eastAsia="Calibri" w:hAnsi="Calibri"/>
                <w:b/>
                <w:bCs/>
                <w:color w:val="0D274D"/>
                <w:sz w:val="20"/>
                <w:szCs w:val="20"/>
              </w:rPr>
              <w:t xml:space="preserve">+  PP4 </w:t>
            </w:r>
            <w:r>
              <w:rPr>
                <w:rFonts w:ascii="Calibri" w:cs="Calibri" w:eastAsia="Calibri" w:hAnsi="Calibri"/>
                <w:color w:val="8091A4"/>
                <w:sz w:val="20"/>
                <w:szCs w:val="20"/>
              </w:rPr>
              <w:t xml:space="preserve">_____   </w:t>
            </w:r>
            <w:r>
              <w:rPr>
                <w:rFonts w:ascii="Calibri" w:cs="Calibri" w:eastAsia="Calibri" w:hAnsi="Calibri"/>
                <w:b/>
                <w:bCs/>
                <w:color w:val="0D274D"/>
                <w:sz w:val="20"/>
                <w:szCs w:val="20"/>
              </w:rPr>
              <w:t xml:space="preserve">=   </w:t>
            </w:r>
            <w:r>
              <w:rPr>
                <w:rFonts w:ascii="Calibri" w:cs="Calibri" w:eastAsia="Calibri" w:hAnsi="Calibri"/>
                <w:color w:val="8091A4"/>
                <w:sz w:val="20"/>
                <w:szCs w:val="20"/>
              </w:rPr>
              <w:t xml:space="preserve">________</w:t>
            </w:r>
            <w:r>
              <w:rPr>
                <w:rFonts w:ascii="Calibri" w:cs="Calibri" w:eastAsia="Calibri" w:hAnsi="Calibri"/>
                <w:b/>
                <w:bCs/>
                <w:color w:val="0D274D"/>
                <w:sz w:val="22"/>
                <w:szCs w:val="22"/>
              </w:rPr>
              <w:t xml:space="preserve"> / 100</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and coaching for this case study</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Score each pain point against its full-credit answer and the rubric, then total the case study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8"/>
                <w:szCs w:val="18"/>
              </w:rPr>
              <w:t xml:space="preserve">How to award marks.  </w:t>
            </w:r>
            <w:r>
              <w:rPr>
                <w:rFonts w:ascii="Calibri" w:cs="Calibri" w:eastAsia="Calibri" w:hAnsi="Calibri"/>
                <w:color w:val="5A6E86"/>
                <w:sz w:val="18"/>
                <w:szCs w:val="18"/>
              </w:rPr>
              <w:t xml:space="preserve">Match the team's written answer to the score bands in the rubric. Full marks name the specific product and approach, identify the real requirement behind the concern, and explain how it works and the outcome for Cedarline. Award partial marks when the answer is on the right track but misses the requirement, the approach, or the outcome. Award low marks when it only restates the concern or names no product.</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Score out of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950"/>
        <w:gridCol w:w="6160"/>
        <w:gridCol w:w="1250"/>
      </w:tblGrid>
      <w:tr>
        <w:trPr>
          <w:tblHeader/>
        </w:trPr>
        <w:tc>
          <w:tcPr>
            <w:tcW w:type="dxa" w:w="19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Dimension</w:t>
            </w:r>
          </w:p>
        </w:tc>
        <w:tc>
          <w:tcPr>
            <w:tcW w:type="dxa" w:w="616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Full-credit answer for this pain point</w:t>
            </w:r>
          </w:p>
        </w:tc>
        <w:tc>
          <w:tcPr>
            <w:tcW w:type="dxa" w:w="12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Score</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color w:val="2A3C52"/>
                <w:sz w:val="18"/>
                <w:szCs w:val="18"/>
              </w:rPr>
              <w:t xml:space="preserve">Runtime detection of suspicious behaviour and policy violations inside workloads.</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5</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b/>
                <w:bCs/>
                <w:color w:val="0B6670"/>
                <w:sz w:val="18"/>
                <w:szCs w:val="18"/>
              </w:rPr>
              <w:t xml:space="preserve">Isovalent Tetragon</w:t>
            </w:r>
            <w:r>
              <w:rPr>
                <w:rFonts w:ascii="Calibri" w:cs="Calibri" w:eastAsia="Calibri" w:hAnsi="Calibri"/>
                <w:color w:val="46566E"/>
                <w:sz w:val="18"/>
                <w:szCs w:val="18"/>
              </w:rPr>
              <w:t xml:space="preserve"> (eBPF runtime security)</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10</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where Tetragon comes in. Tetragon extends the value of Cilium by providing eBPF-based runtime security and threat detection.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Adds runtime visibility beyond basic network controls. Detects suspicious system and network behavior in real time.</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10</w:t>
            </w:r>
          </w:p>
        </w:tc>
      </w:tr>
      <w:tr>
        <w:tc>
          <w:tcPr>
            <w:tcW w:type="dxa" w:w="8110"/>
            <w:gridSpan w:val="2"/>
            <w:tcBorders>
              <w:top w:val="single" w:color="C4D2E2" w:sz="8"/>
              <w:left w:val="none" w:color="FFFFFF" w:sz="0"/>
              <w:bottom w:val="none" w:color="FFFFFF" w:sz="0"/>
              <w:right w:val="none" w:color="FFFFFF" w:sz="0"/>
            </w:tcBorders>
            <w:shd w:fill="EAF1F8" w:color="auto" w:val="clear"/>
            <w:tcMar>
              <w:top w:type="dxa" w:w="90"/>
              <w:left w:type="dxa" w:w="130"/>
              <w:bottom w:type="dxa" w:w="90"/>
              <w:right w:type="dxa" w:w="120"/>
            </w:tcMar>
          </w:tcPr>
          <w:p>
            <w:pPr>
              <w:spacing w:after="0" w:before="0" w:line="276"/>
            </w:pPr>
            <w:r>
              <w:rPr>
                <w:rFonts w:ascii="Calibri" w:cs="Calibri" w:eastAsia="Calibri" w:hAnsi="Calibri"/>
                <w:b/>
                <w:bCs/>
                <w:color w:val="0D274D"/>
                <w:sz w:val="18"/>
                <w:szCs w:val="18"/>
              </w:rPr>
              <w:t xml:space="preserve">Pain point total</w:t>
            </w:r>
          </w:p>
        </w:tc>
        <w:tc>
          <w:tcPr>
            <w:tcW w:type="dxa" w:w="1250"/>
            <w:tcBorders>
              <w:top w:val="single" w:color="C4D2E2" w:sz="8"/>
              <w:left w:val="none" w:color="FFFFFF" w:sz="0"/>
              <w:bottom w:val="none" w:color="FFFFFF" w:sz="0"/>
              <w:right w:val="none" w:color="FFFFFF" w:sz="0"/>
            </w:tcBorders>
            <w:shd w:fill="EAF1F8" w:color="auto" w:val="clear"/>
            <w:tcMar>
              <w:top w:type="dxa" w:w="90"/>
              <w:left w:type="dxa" w:w="100"/>
              <w:bottom w:type="dxa" w:w="90"/>
              <w:right w:type="dxa" w:w="110"/>
            </w:tcMar>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25</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Score out of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950"/>
        <w:gridCol w:w="6160"/>
        <w:gridCol w:w="1250"/>
      </w:tblGrid>
      <w:tr>
        <w:trPr>
          <w:tblHeader/>
        </w:trPr>
        <w:tc>
          <w:tcPr>
            <w:tcW w:type="dxa" w:w="19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Dimension</w:t>
            </w:r>
          </w:p>
        </w:tc>
        <w:tc>
          <w:tcPr>
            <w:tcW w:type="dxa" w:w="616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Full-credit answer for this pain point</w:t>
            </w:r>
          </w:p>
        </w:tc>
        <w:tc>
          <w:tcPr>
            <w:tcW w:type="dxa" w:w="12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Score</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color w:val="2A3C52"/>
                <w:sz w:val="18"/>
                <w:szCs w:val="18"/>
              </w:rPr>
              <w:t xml:space="preserve">Consistent Kubernetes networking and policy across clusters, with less operational complexity.</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5</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b/>
                <w:bCs/>
                <w:color w:val="0B6670"/>
                <w:sz w:val="18"/>
                <w:szCs w:val="18"/>
              </w:rPr>
              <w:t xml:space="preserve">Isovalent Cilium</w:t>
            </w:r>
            <w:r>
              <w:rPr>
                <w:rFonts w:ascii="Calibri" w:cs="Calibri" w:eastAsia="Calibri" w:hAnsi="Calibri"/>
                <w:color w:val="46566E"/>
                <w:sz w:val="18"/>
                <w:szCs w:val="18"/>
              </w:rPr>
              <w:t xml:space="preserve"> (eBPF Kubernetes networking and policy)</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10</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where Isovalent Cilium helps. Cilium provides a modern, eBPF-based Kubernetes networking layer that gives you consistent connectivity, policy enforcement, and visibility across clusters and environments.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Replaces brittle, IP-centric networking models with a Kubernetes-native approach. Improves consistency across dynamic cluster environments.</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10</w:t>
            </w:r>
          </w:p>
        </w:tc>
      </w:tr>
      <w:tr>
        <w:tc>
          <w:tcPr>
            <w:tcW w:type="dxa" w:w="8110"/>
            <w:gridSpan w:val="2"/>
            <w:tcBorders>
              <w:top w:val="single" w:color="C4D2E2" w:sz="8"/>
              <w:left w:val="none" w:color="FFFFFF" w:sz="0"/>
              <w:bottom w:val="none" w:color="FFFFFF" w:sz="0"/>
              <w:right w:val="none" w:color="FFFFFF" w:sz="0"/>
            </w:tcBorders>
            <w:shd w:fill="EAF1F8" w:color="auto" w:val="clear"/>
            <w:tcMar>
              <w:top w:type="dxa" w:w="90"/>
              <w:left w:type="dxa" w:w="130"/>
              <w:bottom w:type="dxa" w:w="90"/>
              <w:right w:type="dxa" w:w="120"/>
            </w:tcMar>
          </w:tcPr>
          <w:p>
            <w:pPr>
              <w:spacing w:after="0" w:before="0" w:line="276"/>
            </w:pPr>
            <w:r>
              <w:rPr>
                <w:rFonts w:ascii="Calibri" w:cs="Calibri" w:eastAsia="Calibri" w:hAnsi="Calibri"/>
                <w:b/>
                <w:bCs/>
                <w:color w:val="0D274D"/>
                <w:sz w:val="18"/>
                <w:szCs w:val="18"/>
              </w:rPr>
              <w:t xml:space="preserve">Pain point total</w:t>
            </w:r>
          </w:p>
        </w:tc>
        <w:tc>
          <w:tcPr>
            <w:tcW w:type="dxa" w:w="1250"/>
            <w:tcBorders>
              <w:top w:val="single" w:color="C4D2E2" w:sz="8"/>
              <w:left w:val="none" w:color="FFFFFF" w:sz="0"/>
              <w:bottom w:val="none" w:color="FFFFFF" w:sz="0"/>
              <w:right w:val="none" w:color="FFFFFF" w:sz="0"/>
            </w:tcBorders>
            <w:shd w:fill="EAF1F8" w:color="auto" w:val="clear"/>
            <w:tcMar>
              <w:top w:type="dxa" w:w="90"/>
              <w:left w:type="dxa" w:w="100"/>
              <w:bottom w:type="dxa" w:w="90"/>
              <w:right w:type="dxa" w:w="110"/>
            </w:tcMar>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25</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Score out of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950"/>
        <w:gridCol w:w="6160"/>
        <w:gridCol w:w="1250"/>
      </w:tblGrid>
      <w:tr>
        <w:trPr>
          <w:tblHeader/>
        </w:trPr>
        <w:tc>
          <w:tcPr>
            <w:tcW w:type="dxa" w:w="19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Dimension</w:t>
            </w:r>
          </w:p>
        </w:tc>
        <w:tc>
          <w:tcPr>
            <w:tcW w:type="dxa" w:w="616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Full-credit answer for this pain point</w:t>
            </w:r>
          </w:p>
        </w:tc>
        <w:tc>
          <w:tcPr>
            <w:tcW w:type="dxa" w:w="12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Score</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color w:val="2A3C52"/>
                <w:sz w:val="18"/>
                <w:szCs w:val="18"/>
              </w:rPr>
              <w:t xml:space="preserve">Consolidating Kubernetes networking, security and observability to reduce tool sprawl.</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5</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b/>
                <w:bCs/>
                <w:color w:val="0B6670"/>
                <w:sz w:val="18"/>
                <w:szCs w:val="18"/>
              </w:rPr>
              <w:t xml:space="preserve">Isovalent Cilium with Tetragon</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10</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the consolidation opportunity Isovalent addresses. With Cilium for networking and policy, and Tetragon for runtime security, you get a more unified platform for connectivity, segmentation, observability, and security.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Consolidates multiple functions into one platform approach. Reduces tool sprawl and operational friction.</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10</w:t>
            </w:r>
          </w:p>
        </w:tc>
      </w:tr>
      <w:tr>
        <w:tc>
          <w:tcPr>
            <w:tcW w:type="dxa" w:w="8110"/>
            <w:gridSpan w:val="2"/>
            <w:tcBorders>
              <w:top w:val="single" w:color="C4D2E2" w:sz="8"/>
              <w:left w:val="none" w:color="FFFFFF" w:sz="0"/>
              <w:bottom w:val="none" w:color="FFFFFF" w:sz="0"/>
              <w:right w:val="none" w:color="FFFFFF" w:sz="0"/>
            </w:tcBorders>
            <w:shd w:fill="EAF1F8" w:color="auto" w:val="clear"/>
            <w:tcMar>
              <w:top w:type="dxa" w:w="90"/>
              <w:left w:type="dxa" w:w="130"/>
              <w:bottom w:type="dxa" w:w="90"/>
              <w:right w:type="dxa" w:w="120"/>
            </w:tcMar>
          </w:tcPr>
          <w:p>
            <w:pPr>
              <w:spacing w:after="0" w:before="0" w:line="276"/>
            </w:pPr>
            <w:r>
              <w:rPr>
                <w:rFonts w:ascii="Calibri" w:cs="Calibri" w:eastAsia="Calibri" w:hAnsi="Calibri"/>
                <w:b/>
                <w:bCs/>
                <w:color w:val="0D274D"/>
                <w:sz w:val="18"/>
                <w:szCs w:val="18"/>
              </w:rPr>
              <w:t xml:space="preserve">Pain point total</w:t>
            </w:r>
          </w:p>
        </w:tc>
        <w:tc>
          <w:tcPr>
            <w:tcW w:type="dxa" w:w="1250"/>
            <w:tcBorders>
              <w:top w:val="single" w:color="C4D2E2" w:sz="8"/>
              <w:left w:val="none" w:color="FFFFFF" w:sz="0"/>
              <w:bottom w:val="none" w:color="FFFFFF" w:sz="0"/>
              <w:right w:val="none" w:color="FFFFFF" w:sz="0"/>
            </w:tcBorders>
            <w:shd w:fill="EAF1F8" w:color="auto" w:val="clear"/>
            <w:tcMar>
              <w:top w:type="dxa" w:w="90"/>
              <w:left w:type="dxa" w:w="100"/>
              <w:bottom w:type="dxa" w:w="90"/>
              <w:right w:type="dxa" w:w="110"/>
            </w:tcMar>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25</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Score out of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950"/>
        <w:gridCol w:w="6160"/>
        <w:gridCol w:w="1250"/>
      </w:tblGrid>
      <w:tr>
        <w:trPr>
          <w:tblHeader/>
        </w:trPr>
        <w:tc>
          <w:tcPr>
            <w:tcW w:type="dxa" w:w="19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Dimension</w:t>
            </w:r>
          </w:p>
        </w:tc>
        <w:tc>
          <w:tcPr>
            <w:tcW w:type="dxa" w:w="616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Full-credit answer for this pain point</w:t>
            </w:r>
          </w:p>
        </w:tc>
        <w:tc>
          <w:tcPr>
            <w:tcW w:type="dxa" w:w="12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Score</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color w:val="2A3C52"/>
                <w:sz w:val="18"/>
                <w:szCs w:val="18"/>
              </w:rPr>
              <w:t xml:space="preserve">Mapping east-west flows and application dependencies to segment safely without breaking applications.</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5</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b/>
                <w:bCs/>
                <w:color w:val="0B6670"/>
                <w:sz w:val="18"/>
                <w:szCs w:val="18"/>
              </w:rPr>
              <w:t xml:space="preserve">Cisco Secure Workload</w:t>
            </w:r>
            <w:r>
              <w:rPr>
                <w:rFonts w:ascii="Calibri" w:cs="Calibri" w:eastAsia="Calibri" w:hAnsi="Calibri"/>
                <w:color w:val="46566E"/>
                <w:sz w:val="18"/>
                <w:szCs w:val="18"/>
              </w:rPr>
              <w:t xml:space="preserve"> (application dependency mapping)</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10</w:t>
            </w:r>
          </w:p>
        </w:tc>
      </w:tr>
      <w:tr>
        <w:tc>
          <w:tcPr>
            <w:tcW w:type="dxa" w:w="1950"/>
            <w:tcBorders>
              <w:top w:val="single" w:color="E4EBF3" w:sz="4"/>
              <w:left w:val="none" w:color="FFFFFF" w:sz="0"/>
              <w:bottom w:val="none" w:color="FFFFFF" w:sz="0"/>
              <w:right w:val="none" w:color="FFFFFF" w:sz="0"/>
            </w:tcBorders>
            <w:tcMar>
              <w:top w:type="dxa" w:w="80"/>
              <w:left w:type="dxa" w:w="130"/>
              <w:bottom w:type="dxa" w:w="80"/>
              <w:right w:type="dxa" w:w="110"/>
            </w:tcMar>
            <w:vAlign w:val="top"/>
          </w:tcPr>
          <w:p>
            <w:pPr>
              <w:spacing w:after="10"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6160"/>
            <w:tcBorders>
              <w:top w:val="single" w:color="E4EBF3" w:sz="4"/>
              <w:left w:val="none" w:color="FFFFFF" w:sz="0"/>
              <w:bottom w:val="none" w:color="FFFFFF" w:sz="0"/>
              <w:right w:val="none" w:color="FFFFFF" w:sz="0"/>
            </w:tcBorders>
            <w:tcMar>
              <w:top w:type="dxa" w:w="80"/>
              <w:left w:type="dxa" w:w="120"/>
              <w:bottom w:type="dxa" w:w="80"/>
              <w:right w:type="dxa" w:w="12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one of the biggest reasons customers adopt Cisco Secure Workload. It gives you deep visibility into workload communication and application dependency mapping, so you can see how applications actually behave before enforcing policy.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Reveals actual application communication paths. Reduces the risk of segmentation causing outages.</w:t>
            </w:r>
          </w:p>
        </w:tc>
        <w:tc>
          <w:tcPr>
            <w:tcW w:type="dxa" w:w="1250"/>
            <w:tcBorders>
              <w:top w:val="single" w:color="E4EBF3" w:sz="4"/>
              <w:left w:val="none" w:color="FFFFFF" w:sz="0"/>
              <w:bottom w:val="none" w:color="FFFFFF" w:sz="0"/>
              <w:right w:val="none" w:color="FFFFFF" w:sz="0"/>
            </w:tcBorders>
            <w:tcMar>
              <w:top w:type="dxa" w:w="80"/>
              <w:left w:type="dxa" w:w="100"/>
              <w:bottom w:type="dxa" w:w="80"/>
              <w:right w:type="dxa" w:w="110"/>
            </w:tcMar>
            <w:vAlign w:val="top"/>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10</w:t>
            </w:r>
          </w:p>
        </w:tc>
      </w:tr>
      <w:tr>
        <w:tc>
          <w:tcPr>
            <w:tcW w:type="dxa" w:w="8110"/>
            <w:gridSpan w:val="2"/>
            <w:tcBorders>
              <w:top w:val="single" w:color="C4D2E2" w:sz="8"/>
              <w:left w:val="none" w:color="FFFFFF" w:sz="0"/>
              <w:bottom w:val="none" w:color="FFFFFF" w:sz="0"/>
              <w:right w:val="none" w:color="FFFFFF" w:sz="0"/>
            </w:tcBorders>
            <w:shd w:fill="EAF1F8" w:color="auto" w:val="clear"/>
            <w:tcMar>
              <w:top w:type="dxa" w:w="90"/>
              <w:left w:type="dxa" w:w="130"/>
              <w:bottom w:type="dxa" w:w="90"/>
              <w:right w:type="dxa" w:w="120"/>
            </w:tcMar>
          </w:tcPr>
          <w:p>
            <w:pPr>
              <w:spacing w:after="0" w:before="0" w:line="276"/>
            </w:pPr>
            <w:r>
              <w:rPr>
                <w:rFonts w:ascii="Calibri" w:cs="Calibri" w:eastAsia="Calibri" w:hAnsi="Calibri"/>
                <w:b/>
                <w:bCs/>
                <w:color w:val="0D274D"/>
                <w:sz w:val="18"/>
                <w:szCs w:val="18"/>
              </w:rPr>
              <w:t xml:space="preserve">Pain point total</w:t>
            </w:r>
          </w:p>
        </w:tc>
        <w:tc>
          <w:tcPr>
            <w:tcW w:type="dxa" w:w="1250"/>
            <w:tcBorders>
              <w:top w:val="single" w:color="C4D2E2" w:sz="8"/>
              <w:left w:val="none" w:color="FFFFFF" w:sz="0"/>
              <w:bottom w:val="none" w:color="FFFFFF" w:sz="0"/>
              <w:right w:val="none" w:color="FFFFFF" w:sz="0"/>
            </w:tcBorders>
            <w:shd w:fill="EAF1F8" w:color="auto" w:val="clear"/>
            <w:tcMar>
              <w:top w:type="dxa" w:w="90"/>
              <w:left w:type="dxa" w:w="100"/>
              <w:bottom w:type="dxa" w:w="90"/>
              <w:right w:type="dxa" w:w="110"/>
            </w:tcMar>
          </w:tcPr>
          <w:p>
            <w:pPr>
              <w:spacing w:after="0" w:before="0" w:line="276"/>
              <w:jc w:val="center"/>
            </w:pPr>
            <w:r>
              <w:rPr>
                <w:rFonts w:ascii="Calibri" w:cs="Calibri" w:eastAsia="Calibri" w:hAnsi="Calibri"/>
                <w:color w:val="9AA8BC"/>
                <w:sz w:val="18"/>
                <w:szCs w:val="18"/>
              </w:rPr>
              <w:t xml:space="preserve">______</w:t>
            </w:r>
            <w:r>
              <w:rPr>
                <w:rFonts w:ascii="Calibri" w:cs="Calibri" w:eastAsia="Calibri" w:hAnsi="Calibri"/>
                <w:b/>
                <w:bCs/>
                <w:color w:val="0D274D"/>
                <w:sz w:val="16"/>
                <w:szCs w:val="16"/>
              </w:rPr>
              <w:t xml:space="preserve"> / 25</w:t>
            </w:r>
          </w:p>
        </w:tc>
      </w:tr>
    </w:tbl>
    <w:p>
      <w:pPr>
        <w:spacing w:after="1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D2E2" w:sz="6"/>
              <w:left w:val="single" w:color="C4D2E2" w:sz="6"/>
              <w:bottom w:val="single" w:color="C4D2E2" w:sz="6"/>
              <w:right w:val="single" w:color="C4D2E2" w:sz="6"/>
            </w:tcBorders>
            <w:shd w:fill="EAF1F8"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2"/>
                <w:szCs w:val="22"/>
              </w:rPr>
              <w:t xml:space="preserve">Case Study 4 score    </w:t>
            </w:r>
            <w:r>
              <w:rPr>
                <w:rFonts w:ascii="Calibri" w:cs="Calibri" w:eastAsia="Calibri" w:hAnsi="Calibri"/>
                <w:b/>
                <w:bCs/>
                <w:color w:val="0D274D"/>
                <w:sz w:val="20"/>
                <w:szCs w:val="20"/>
              </w:rPr>
              <w:t xml:space="preserve">PP1 </w:t>
            </w:r>
            <w:r>
              <w:rPr>
                <w:rFonts w:ascii="Calibri" w:cs="Calibri" w:eastAsia="Calibri" w:hAnsi="Calibri"/>
                <w:color w:val="8091A4"/>
                <w:sz w:val="20"/>
                <w:szCs w:val="20"/>
              </w:rPr>
              <w:t xml:space="preserve">_____  </w:t>
            </w:r>
            <w:r>
              <w:rPr>
                <w:rFonts w:ascii="Calibri" w:cs="Calibri" w:eastAsia="Calibri" w:hAnsi="Calibri"/>
                <w:b/>
                <w:bCs/>
                <w:color w:val="0D274D"/>
                <w:sz w:val="20"/>
                <w:szCs w:val="20"/>
              </w:rPr>
              <w:t xml:space="preserve">+  PP2 </w:t>
            </w:r>
            <w:r>
              <w:rPr>
                <w:rFonts w:ascii="Calibri" w:cs="Calibri" w:eastAsia="Calibri" w:hAnsi="Calibri"/>
                <w:color w:val="8091A4"/>
                <w:sz w:val="20"/>
                <w:szCs w:val="20"/>
              </w:rPr>
              <w:t xml:space="preserve">_____  </w:t>
            </w:r>
            <w:r>
              <w:rPr>
                <w:rFonts w:ascii="Calibri" w:cs="Calibri" w:eastAsia="Calibri" w:hAnsi="Calibri"/>
                <w:b/>
                <w:bCs/>
                <w:color w:val="0D274D"/>
                <w:sz w:val="20"/>
                <w:szCs w:val="20"/>
              </w:rPr>
              <w:t xml:space="preserve">+  PP3 </w:t>
            </w:r>
            <w:r>
              <w:rPr>
                <w:rFonts w:ascii="Calibri" w:cs="Calibri" w:eastAsia="Calibri" w:hAnsi="Calibri"/>
                <w:color w:val="8091A4"/>
                <w:sz w:val="20"/>
                <w:szCs w:val="20"/>
              </w:rPr>
              <w:t xml:space="preserve">_____  </w:t>
            </w:r>
            <w:r>
              <w:rPr>
                <w:rFonts w:ascii="Calibri" w:cs="Calibri" w:eastAsia="Calibri" w:hAnsi="Calibri"/>
                <w:b/>
                <w:bCs/>
                <w:color w:val="0D274D"/>
                <w:sz w:val="20"/>
                <w:szCs w:val="20"/>
              </w:rPr>
              <w:t xml:space="preserve">+  PP4 </w:t>
            </w:r>
            <w:r>
              <w:rPr>
                <w:rFonts w:ascii="Calibri" w:cs="Calibri" w:eastAsia="Calibri" w:hAnsi="Calibri"/>
                <w:color w:val="8091A4"/>
                <w:sz w:val="20"/>
                <w:szCs w:val="20"/>
              </w:rPr>
              <w:t xml:space="preserve">_____   </w:t>
            </w:r>
            <w:r>
              <w:rPr>
                <w:rFonts w:ascii="Calibri" w:cs="Calibri" w:eastAsia="Calibri" w:hAnsi="Calibri"/>
                <w:b/>
                <w:bCs/>
                <w:color w:val="0D274D"/>
                <w:sz w:val="20"/>
                <w:szCs w:val="20"/>
              </w:rPr>
              <w:t xml:space="preserve">=   </w:t>
            </w:r>
            <w:r>
              <w:rPr>
                <w:rFonts w:ascii="Calibri" w:cs="Calibri" w:eastAsia="Calibri" w:hAnsi="Calibri"/>
                <w:color w:val="8091A4"/>
                <w:sz w:val="20"/>
                <w:szCs w:val="20"/>
              </w:rPr>
              <w:t xml:space="preserve">________</w:t>
            </w:r>
            <w:r>
              <w:rPr>
                <w:rFonts w:ascii="Calibri" w:cs="Calibri" w:eastAsia="Calibri" w:hAnsi="Calibri"/>
                <w:b/>
                <w:bCs/>
                <w:color w:val="0D274D"/>
                <w:sz w:val="22"/>
                <w:szCs w:val="22"/>
              </w:rPr>
              <w:t xml:space="preserve"> / 100</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and coaching for this case study</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Score summary</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Team total and feedback</w:t>
      </w:r>
    </w:p>
    <w:p>
      <w:pPr>
        <w:spacing w:after="120" w:before="0" w:line="276"/>
      </w:pPr>
      <w:r>
        <w:rPr>
          <w:rFonts w:ascii="Calibri" w:cs="Calibri" w:eastAsia="Calibri" w:hAnsi="Calibri"/>
          <w:color w:val="3A4C63"/>
          <w:sz w:val="21"/>
          <w:szCs w:val="21"/>
        </w:rPr>
        <w:t xml:space="preserve">This is the same evaluation page bound into the back of every team's Workbook. Bring the four case study scores together, each out of 100 with feedback that supports the score, total for an overall score out of 400, then summarise what the team did well and where they can learn and grow.</w:t>
      </w:r>
    </w:p>
    <w:p>
      <w:pPr>
        <w:spacing w:after="12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Members (up to 8)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Date </w:t>
      </w:r>
      <w:r>
        <w:rPr>
          <w:rFonts w:ascii="Calibri" w:cs="Calibri" w:eastAsia="Calibri" w:hAnsi="Calibri"/>
          <w:color w:val="8091A4"/>
          <w:sz w:val="21"/>
          <w:szCs w:val="21"/>
        </w:rPr>
        <w:t xml:space="preserve">__________</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500"/>
        <w:gridCol w:w="1900"/>
        <w:gridCol w:w="4960"/>
      </w:tblGrid>
      <w:tr>
        <w:trPr>
          <w:tblHeader/>
        </w:trPr>
        <w:tc>
          <w:tcPr>
            <w:tcW w:type="dxa" w:w="25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Case Study</w:t>
            </w:r>
          </w:p>
        </w:tc>
        <w:tc>
          <w:tcPr>
            <w:tcW w:type="dxa" w:w="19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center"/>
            </w:pPr>
            <w:r>
              <w:rPr>
                <w:rFonts w:ascii="Calibri" w:cs="Calibri" w:eastAsia="Calibri" w:hAnsi="Calibri"/>
                <w:b/>
                <w:bCs/>
                <w:caps/>
                <w:color w:val="FFFFFF"/>
                <w:sz w:val="14"/>
                <w:szCs w:val="14"/>
              </w:rPr>
              <w:t xml:space="preserve">Score / 100</w:t>
            </w:r>
          </w:p>
        </w:tc>
        <w:tc>
          <w:tcPr>
            <w:tcW w:type="dxa" w:w="496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Feedback for this case study</w:t>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1</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2</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3</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4</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c>
          <w:tcPr>
            <w:tcW w:type="dxa" w:w="2500"/>
            <w:tcBorders>
              <w:top w:val="single" w:color="C4D2E2" w:sz="10"/>
              <w:left w:val="none" w:color="FFFFFF" w:sz="0"/>
              <w:bottom w:val="none" w:color="FFFFFF" w:sz="0"/>
              <w:right w:val="none" w:color="FFFFFF" w:sz="0"/>
            </w:tcBorders>
            <w:shd w:fill="EAF1F8" w:color="auto" w:val="clear"/>
            <w:tcMar>
              <w:top w:type="dxa" w:w="100"/>
              <w:left w:type="dxa" w:w="130"/>
              <w:bottom w:type="dxa" w:w="100"/>
              <w:right w:type="dxa" w:w="110"/>
            </w:tcMar>
          </w:tcPr>
          <w:p>
            <w:pPr>
              <w:spacing w:after="0" w:before="0" w:line="276"/>
            </w:pPr>
            <w:r>
              <w:rPr>
                <w:rFonts w:ascii="Calibri" w:cs="Calibri" w:eastAsia="Calibri" w:hAnsi="Calibri"/>
                <w:b/>
                <w:bCs/>
                <w:color w:val="0D274D"/>
                <w:sz w:val="20"/>
                <w:szCs w:val="20"/>
              </w:rPr>
              <w:t xml:space="preserve">Overall total</w:t>
            </w:r>
          </w:p>
        </w:tc>
        <w:tc>
          <w:tcPr>
            <w:tcW w:type="dxa" w:w="190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10"/>
            </w:tcMar>
          </w:tcPr>
          <w:p>
            <w:pPr>
              <w:spacing w:after="0" w:before="0" w:line="276"/>
              <w:jc w:val="center"/>
            </w:pPr>
            <w:r>
              <w:rPr>
                <w:rFonts w:ascii="Calibri" w:cs="Calibri" w:eastAsia="Calibri" w:hAnsi="Calibri"/>
                <w:color w:val="9AA8BC"/>
                <w:sz w:val="20"/>
                <w:szCs w:val="20"/>
              </w:rPr>
              <w:t xml:space="preserve">________</w:t>
            </w:r>
            <w:r>
              <w:rPr>
                <w:rFonts w:ascii="Calibri" w:cs="Calibri" w:eastAsia="Calibri" w:hAnsi="Calibri"/>
                <w:b/>
                <w:bCs/>
                <w:color w:val="0D274D"/>
                <w:sz w:val="19"/>
                <w:szCs w:val="19"/>
              </w:rPr>
              <w:t xml:space="preserve"> / 400</w:t>
            </w:r>
          </w:p>
        </w:tc>
        <w:tc>
          <w:tcPr>
            <w:tcW w:type="dxa" w:w="496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30"/>
            </w:tcMar>
          </w:tcPr>
          <w:p>
            <w:pPr>
              <w:spacing w:after="0" w:before="0" w:line="276"/>
            </w:pPr>
            <w:r>
              <w:rPr>
                <w:rFonts w:ascii="Calibri" w:cs="Calibri" w:eastAsia="Calibri" w:hAnsi="Calibri"/>
                <w:color w:val="14263A"/>
                <w:sz w:val="2"/>
                <w:szCs w:val="2"/>
              </w:rPr>
              <w:t xml:space="preserve"/>
            </w:r>
          </w:p>
        </w:tc>
      </w:tr>
    </w:tbl>
    <w:p>
      <w:pPr>
        <w:spacing w:after="1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9"/>
                <w:szCs w:val="19"/>
              </w:rPr>
              <w:t xml:space="preserve">Topology diagram: SME review.  </w:t>
            </w:r>
            <w:r>
              <w:rPr>
                <w:rFonts w:ascii="Calibri" w:cs="Calibri" w:eastAsia="Calibri" w:hAnsi="Calibri"/>
                <w:color w:val="33465F"/>
                <w:sz w:val="19"/>
                <w:szCs w:val="19"/>
              </w:rPr>
              <w:t xml:space="preserve">The team's Hybrid Mesh Firewall diagram is submitted for Subject Matter Expert review and is not part of the score.    Reviewed by SME:  Yes </w:t>
            </w:r>
            <w:r>
              <w:rPr>
                <w:rFonts w:ascii="Calibri" w:cs="Calibri" w:eastAsia="Calibri" w:hAnsi="Calibri"/>
                <w:color w:val="14263A"/>
                <w:sz w:val="20"/>
                <w:szCs w:val="20"/>
              </w:rPr>
              <w:t xml:space="preserve">☐</w:t>
            </w:r>
            <w:r>
              <w:rPr>
                <w:rFonts w:ascii="Calibri" w:cs="Calibri" w:eastAsia="Calibri" w:hAnsi="Calibri"/>
                <w:color w:val="33465F"/>
                <w:sz w:val="19"/>
                <w:szCs w:val="19"/>
              </w:rPr>
              <w:t xml:space="preserve">   No </w:t>
            </w:r>
            <w:r>
              <w:rPr>
                <w:rFonts w:ascii="Calibri" w:cs="Calibri" w:eastAsia="Calibri" w:hAnsi="Calibri"/>
                <w:color w:val="14263A"/>
                <w:sz w:val="20"/>
                <w:szCs w:val="20"/>
              </w:rPr>
              <w:t xml:space="preserve">☐</w:t>
            </w:r>
          </w:p>
          <w:p>
            <w:pPr>
              <w:spacing w:after="0" w:before="0" w:line="276"/>
            </w:pPr>
            <w:r>
              <w:rPr>
                <w:rFonts w:ascii="Calibri" w:cs="Calibri" w:eastAsia="Calibri" w:hAnsi="Calibri"/>
                <w:color w:val="14263A"/>
                <w:sz w:val="2"/>
                <w:szCs w:val="2"/>
              </w:rPr>
              <w:t xml:space="preserve"/>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What the team did well</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Where they can learn and grow</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2026-08-03T21:02:50.312Z</dcterms:created>
  <dcterms:modified xsi:type="dcterms:W3CDTF">2026-08-03T21:02:50.312Z</dcterms:modified>
</cp:coreProperties>
</file>

<file path=docProps/custom.xml><?xml version="1.0" encoding="utf-8"?>
<Properties xmlns="http://schemas.openxmlformats.org/officeDocument/2006/custom-properties" xmlns:vt="http://schemas.openxmlformats.org/officeDocument/2006/docPropsVTypes"/>
</file>