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 · Facilitator</w:t>
      </w:r>
    </w:p>
    <w:p>
      <w:pPr>
        <w:spacing w:after="60" w:before="0" w:line="276"/>
      </w:pPr>
      <w:r>
        <w:rPr>
          <w:rFonts w:ascii="Calibri" w:cs="Calibri" w:eastAsia="Calibri" w:hAnsi="Calibri"/>
          <w:b/>
          <w:bCs/>
          <w:color w:val="0D274D"/>
          <w:sz w:val="42"/>
          <w:szCs w:val="42"/>
        </w:rPr>
        <w:t xml:space="preserve">Proctor Grading Guide &amp; Rubric</w:t>
      </w:r>
    </w:p>
    <w:p>
      <w:pPr>
        <w:spacing w:after="140" w:before="0" w:line="276"/>
      </w:pPr>
      <w:r>
        <w:rPr>
          <w:rFonts w:ascii="Calibri" w:cs="Calibri" w:eastAsia="Calibri" w:hAnsi="Calibri"/>
          <w:color w:val="3A4C63"/>
          <w:sz w:val="24"/>
          <w:szCs w:val="24"/>
        </w:rPr>
        <w:t xml:space="preserve">Level-based scoring — Associate · Professional · Expert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single" w:color="E2891F" w:sz="60"/>
              <w:bottom w:val="none" w:color="FFFFFF" w:sz="0"/>
              <w:right w:val="single" w:color="FFFFFF" w:sz="40"/>
            </w:tcBorders>
            <w:shd w:fill="FBEBD3" w:color="auto" w:val="clear"/>
            <w:tcMar>
              <w:top w:type="dxa" w:w="120"/>
              <w:left w:type="dxa" w:w="150"/>
              <w:bottom w:type="dxa" w:w="120"/>
              <w:right w:type="dxa" w:w="150"/>
            </w:tcMar>
          </w:tcPr>
          <w:p>
            <w:pPr>
              <w:spacing w:after="40" w:before="0" w:line="276"/>
            </w:pPr>
            <w:r>
              <w:rPr>
                <w:rFonts w:ascii="Calibri" w:cs="Calibri" w:eastAsia="Calibri" w:hAnsi="Calibri"/>
                <w:b/>
                <w:bCs/>
                <w:color w:val="0D274D"/>
                <w:sz w:val="24"/>
                <w:szCs w:val="24"/>
              </w:rPr>
              <w:t xml:space="preserve">Associate</w:t>
            </w:r>
          </w:p>
          <w:p>
            <w:pPr>
              <w:spacing w:after="0" w:before="0" w:line="276"/>
            </w:pPr>
            <w:r>
              <w:rPr>
                <w:rFonts w:ascii="Calibri" w:cs="Calibri" w:eastAsia="Calibri" w:hAnsi="Calibri"/>
                <w:color w:val="33465F"/>
                <w:sz w:val="17"/>
                <w:szCs w:val="17"/>
              </w:rPr>
              <w:t xml:space="preserve">Right product, generic reasoning — knows what.</w:t>
            </w:r>
          </w:p>
        </w:tc>
        <w:tc>
          <w:tcPr>
            <w:tcW w:type="dxa" w:w="3120"/>
            <w:tcBorders>
              <w:top w:val="none" w:color="FFFFFF" w:sz="0"/>
              <w:left w:val="single" w:color="00BCEB" w:sz="60"/>
              <w:bottom w:val="none" w:color="FFFFFF" w:sz="0"/>
              <w:right w:val="single" w:color="FFFFFF" w:sz="40"/>
            </w:tcBorders>
            <w:shd w:fill="E4F6FB" w:color="auto" w:val="clear"/>
            <w:tcMar>
              <w:top w:type="dxa" w:w="120"/>
              <w:left w:type="dxa" w:w="150"/>
              <w:bottom w:type="dxa" w:w="120"/>
              <w:right w:type="dxa" w:w="150"/>
            </w:tcMar>
          </w:tcPr>
          <w:p>
            <w:pPr>
              <w:spacing w:after="40" w:before="0" w:line="276"/>
            </w:pPr>
            <w:r>
              <w:rPr>
                <w:rFonts w:ascii="Calibri" w:cs="Calibri" w:eastAsia="Calibri" w:hAnsi="Calibri"/>
                <w:b/>
                <w:bCs/>
                <w:color w:val="0D274D"/>
                <w:sz w:val="24"/>
                <w:szCs w:val="24"/>
              </w:rPr>
              <w:t xml:space="preserve">Professional</w:t>
            </w:r>
          </w:p>
          <w:p>
            <w:pPr>
              <w:spacing w:after="0" w:before="0" w:line="276"/>
            </w:pPr>
            <w:r>
              <w:rPr>
                <w:rFonts w:ascii="Calibri" w:cs="Calibri" w:eastAsia="Calibri" w:hAnsi="Calibri"/>
                <w:color w:val="33465F"/>
                <w:sz w:val="17"/>
                <w:szCs w:val="17"/>
              </w:rPr>
              <w:t xml:space="preserve">Correct product + how it addresses the concern — knows how.</w:t>
            </w:r>
          </w:p>
        </w:tc>
        <w:tc>
          <w:tcPr>
            <w:tcW w:type="dxa" w:w="3120"/>
            <w:tcBorders>
              <w:top w:val="none" w:color="FFFFFF" w:sz="0"/>
              <w:left w:val="single" w:color="27A276" w:sz="60"/>
              <w:bottom w:val="none" w:color="FFFFFF" w:sz="0"/>
              <w:right w:val="single" w:color="FFFFFF" w:sz="40"/>
            </w:tcBorders>
            <w:shd w:fill="D7F0E6" w:color="auto" w:val="clear"/>
            <w:tcMar>
              <w:top w:type="dxa" w:w="120"/>
              <w:left w:type="dxa" w:w="150"/>
              <w:bottom w:type="dxa" w:w="120"/>
              <w:right w:type="dxa" w:w="150"/>
            </w:tcMar>
          </w:tcPr>
          <w:p>
            <w:pPr>
              <w:spacing w:after="40" w:before="0" w:line="276"/>
            </w:pPr>
            <w:r>
              <w:rPr>
                <w:rFonts w:ascii="Calibri" w:cs="Calibri" w:eastAsia="Calibri" w:hAnsi="Calibri"/>
                <w:b/>
                <w:bCs/>
                <w:color w:val="0D274D"/>
                <w:sz w:val="24"/>
                <w:szCs w:val="24"/>
              </w:rPr>
              <w:t xml:space="preserve">Expert</w:t>
            </w:r>
          </w:p>
          <w:p>
            <w:pPr>
              <w:spacing w:after="0" w:before="0" w:line="276"/>
            </w:pPr>
            <w:r>
              <w:rPr>
                <w:rFonts w:ascii="Calibri" w:cs="Calibri" w:eastAsia="Calibri" w:hAnsi="Calibri"/>
                <w:color w:val="33465F"/>
                <w:sz w:val="17"/>
                <w:szCs w:val="17"/>
              </w:rPr>
              <w:t xml:space="preserve">Cedarline-specific reasoning, outcome &amp; HMF fit — knows why.</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1"/>
                <w:szCs w:val="21"/>
              </w:rPr>
              <w:t xml:space="preserve">Cedarline Health Group is a regional healthcare payer-provider —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grade</w:t>
      </w:r>
    </w:p>
    <w:p>
      <w:pPr>
        <w:pBdr>
          <w:bottom w:val="single" w:color="00BCEB" w:sz="18"/>
        </w:pBdr>
        <w:spacing w:after="120"/>
      </w:pPr>
      <w:r>
        <w:rPr>
          <w:rFonts w:ascii="Calibri" w:cs="Calibri" w:eastAsia="Calibri" w:hAnsi="Calibri"/>
          <w:color w:val="14263A"/>
          <w:sz w:val="2"/>
          <w:szCs w:val="2"/>
        </w:rPr>
        <w:t xml:space="preserve"/>
      </w:r>
    </w:p>
    <w:p>
      <w:pPr>
        <w:spacing w:after="80" w:before="160" w:line="276"/>
      </w:pPr>
      <w:r>
        <w:rPr>
          <w:rFonts w:ascii="Calibri" w:cs="Calibri" w:eastAsia="Calibri" w:hAnsi="Calibri"/>
          <w:b/>
          <w:bCs/>
          <w:color w:val="0D274D"/>
          <w:sz w:val="30"/>
          <w:szCs w:val="30"/>
        </w:rPr>
        <w:t xml:space="preserve">Grading, step by step</w:t>
      </w:r>
    </w:p>
    <w:p>
      <w:pPr>
        <w:spacing w:after="80" w:before="0" w:line="276"/>
      </w:pPr>
      <w:r>
        <w:rPr>
          <w:rFonts w:ascii="Calibri" w:cs="Calibri" w:eastAsia="Calibri" w:hAnsi="Calibri"/>
          <w:color w:val="3A4C63"/>
          <w:sz w:val="21"/>
          <w:szCs w:val="21"/>
        </w:rPr>
        <w:t xml:space="preserve">1.  For each pain point, read the team's </w:t>
      </w:r>
      <w:r>
        <w:rPr>
          <w:rFonts w:ascii="Calibri" w:cs="Calibri" w:eastAsia="Calibri" w:hAnsi="Calibri"/>
          <w:b/>
          <w:bCs/>
          <w:color w:val="0D274D"/>
          <w:sz w:val="21"/>
          <w:szCs w:val="21"/>
        </w:rPr>
        <w:t xml:space="preserve">Product / platform</w:t>
      </w:r>
      <w:r>
        <w:rPr>
          <w:rFonts w:ascii="Calibri" w:cs="Calibri" w:eastAsia="Calibri" w:hAnsi="Calibri"/>
          <w:color w:val="3A4C63"/>
          <w:sz w:val="21"/>
          <w:szCs w:val="21"/>
        </w:rPr>
        <w:t xml:space="preserve"> and </w:t>
      </w:r>
      <w:r>
        <w:rPr>
          <w:rFonts w:ascii="Calibri" w:cs="Calibri" w:eastAsia="Calibri" w:hAnsi="Calibri"/>
          <w:b/>
          <w:bCs/>
          <w:color w:val="0D274D"/>
          <w:sz w:val="21"/>
          <w:szCs w:val="21"/>
        </w:rPr>
        <w:t xml:space="preserve">Solution-Engineer response</w:t>
      </w:r>
      <w:r>
        <w:rPr>
          <w:rFonts w:ascii="Calibri" w:cs="Calibri" w:eastAsia="Calibri" w:hAnsi="Calibri"/>
          <w:color w:val="3A4C63"/>
          <w:sz w:val="21"/>
          <w:szCs w:val="21"/>
        </w:rPr>
        <w:t xml:space="preserve"> together.</w:t>
      </w:r>
    </w:p>
    <w:p>
      <w:pPr>
        <w:spacing w:after="80" w:before="0" w:line="276"/>
      </w:pPr>
      <w:r>
        <w:rPr>
          <w:rFonts w:ascii="Calibri" w:cs="Calibri" w:eastAsia="Calibri" w:hAnsi="Calibri"/>
          <w:color w:val="3A4C63"/>
          <w:sz w:val="21"/>
          <w:szCs w:val="21"/>
        </w:rPr>
        <w:t xml:space="preserve">2.  Match the answer to the highest level it fully meets on the </w:t>
      </w:r>
      <w:r>
        <w:rPr>
          <w:rFonts w:ascii="Calibri" w:cs="Calibri" w:eastAsia="Calibri" w:hAnsi="Calibri"/>
          <w:b/>
          <w:bCs/>
          <w:color w:val="0D274D"/>
          <w:sz w:val="21"/>
          <w:szCs w:val="21"/>
        </w:rPr>
        <w:t xml:space="preserve">master rubric</w:t>
      </w:r>
      <w:r>
        <w:rPr>
          <w:rFonts w:ascii="Calibri" w:cs="Calibri" w:eastAsia="Calibri" w:hAnsi="Calibri"/>
          <w:color w:val="3A4C63"/>
          <w:sz w:val="21"/>
          <w:szCs w:val="21"/>
        </w:rPr>
        <w:t xml:space="preserve"> below (Associate → Professional → Expert).</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0" w:line="276"/>
      </w:pPr>
      <w:r>
        <w:rPr>
          <w:rFonts w:ascii="Calibri" w:cs="Calibri" w:eastAsia="Calibri" w:hAnsi="Calibri"/>
          <w:color w:val="3A4C63"/>
          <w:sz w:val="21"/>
          <w:szCs w:val="21"/>
        </w:rPr>
        <w:t xml:space="preserve">3.  Assign points </w:t>
      </w:r>
      <w:r>
        <w:rPr>
          <w:rFonts w:ascii="Calibri" w:cs="Calibri" w:eastAsia="Calibri" w:hAnsi="Calibri"/>
          <w:b/>
          <w:bCs/>
          <w:color w:val="0D274D"/>
          <w:sz w:val="21"/>
          <w:szCs w:val="21"/>
        </w:rPr>
        <w:t xml:space="preserve">within that level's band</w:t>
      </w:r>
      <w:r>
        <w:rPr>
          <w:rFonts w:ascii="Calibri" w:cs="Calibri" w:eastAsia="Calibri" w:hAnsi="Calibri"/>
          <w:color w:val="3A4C63"/>
          <w:sz w:val="21"/>
          <w:szCs w:val="21"/>
        </w:rPr>
        <w:t xml:space="preserve"> (0–25) — top of the band for a complete answer, bottom when it only partly meets the level.</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0" w:line="276"/>
      </w:pPr>
      <w:r>
        <w:rPr>
          <w:rFonts w:ascii="Calibri" w:cs="Calibri" w:eastAsia="Calibri" w:hAnsi="Calibri"/>
          <w:color w:val="3A4C63"/>
          <w:sz w:val="21"/>
          <w:szCs w:val="21"/>
        </w:rPr>
        <w:t xml:space="preserve">4.  Repeat for all four pain points, then </w:t>
      </w:r>
      <w:r>
        <w:rPr>
          <w:rFonts w:ascii="Calibri" w:cs="Calibri" w:eastAsia="Calibri" w:hAnsi="Calibri"/>
          <w:b/>
          <w:bCs/>
          <w:color w:val="0D274D"/>
          <w:sz w:val="21"/>
          <w:szCs w:val="21"/>
        </w:rPr>
        <w:t xml:space="preserve">add them for the Case Study total (/100)</w:t>
      </w:r>
      <w:r>
        <w:rPr>
          <w:rFonts w:ascii="Calibri" w:cs="Calibri" w:eastAsia="Calibri" w:hAnsi="Calibri"/>
          <w:color w:val="3A4C63"/>
          <w:sz w:val="21"/>
          <w:szCs w:val="21"/>
        </w:rPr>
        <w:t xml:space="preserve"> and read off the Case Study level.</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0" w:line="276"/>
      </w:pPr>
      <w:r>
        <w:rPr>
          <w:rFonts w:ascii="Calibri" w:cs="Calibri" w:eastAsia="Calibri" w:hAnsi="Calibri"/>
          <w:color w:val="3A4C63"/>
          <w:sz w:val="21"/>
          <w:szCs w:val="21"/>
        </w:rPr>
        <w:t xml:space="preserve">5.  Write </w:t>
      </w:r>
      <w:r>
        <w:rPr>
          <w:rFonts w:ascii="Calibri" w:cs="Calibri" w:eastAsia="Calibri" w:hAnsi="Calibri"/>
          <w:b/>
          <w:bCs/>
          <w:color w:val="0D274D"/>
          <w:sz w:val="21"/>
          <w:szCs w:val="21"/>
        </w:rPr>
        <w:t xml:space="preserve">feedback</w:t>
      </w:r>
      <w:r>
        <w:rPr>
          <w:rFonts w:ascii="Calibri" w:cs="Calibri" w:eastAsia="Calibri" w:hAnsi="Calibri"/>
          <w:color w:val="3A4C63"/>
          <w:sz w:val="21"/>
          <w:szCs w:val="21"/>
        </w:rPr>
        <w:t xml:space="preserve"> for the Case Study: what the team did well, and where they can improve.</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0" w:line="276"/>
      </w:pPr>
      <w:r>
        <w:rPr>
          <w:rFonts w:ascii="Calibri" w:cs="Calibri" w:eastAsia="Calibri" w:hAnsi="Calibri"/>
          <w:color w:val="3A4C63"/>
          <w:sz w:val="21"/>
          <w:szCs w:val="21"/>
        </w:rPr>
        <w:t xml:space="preserve">6.  Carry the four Case Study totals to the </w:t>
      </w:r>
      <w:r>
        <w:rPr>
          <w:rFonts w:ascii="Calibri" w:cs="Calibri" w:eastAsia="Calibri" w:hAnsi="Calibri"/>
          <w:b/>
          <w:bCs/>
          <w:color w:val="0D274D"/>
          <w:sz w:val="21"/>
          <w:szCs w:val="21"/>
        </w:rPr>
        <w:t xml:space="preserve">score summary</w:t>
      </w:r>
      <w:r>
        <w:rPr>
          <w:rFonts w:ascii="Calibri" w:cs="Calibri" w:eastAsia="Calibri" w:hAnsi="Calibri"/>
          <w:color w:val="3A4C63"/>
          <w:sz w:val="21"/>
          <w:szCs w:val="21"/>
        </w:rPr>
        <w:t xml:space="preserve"> for the overall result (/400) and overall level.</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80" w:before="160" w:line="276"/>
      </w:pPr>
      <w:r>
        <w:rPr>
          <w:rFonts w:ascii="Calibri" w:cs="Calibri" w:eastAsia="Calibri" w:hAnsi="Calibri"/>
          <w:b/>
          <w:bCs/>
          <w:color w:val="0D274D"/>
          <w:sz w:val="30"/>
          <w:szCs w:val="30"/>
        </w:rPr>
        <w:t xml:space="preserve">Master rubric — how to place any answer (per pain point, 0–25)</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700"/>
        <w:gridCol w:w="6760"/>
        <w:gridCol w:w="900"/>
      </w:tblGrid>
      <w:tr>
        <w:trPr>
          <w:tblHeader/>
        </w:trPr>
        <w:tc>
          <w:tcPr>
            <w:tcW w:type="dxa" w:w="170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120"/>
            </w:tcMar>
          </w:tcPr>
          <w:p>
            <w:pPr>
              <w:spacing w:after="0" w:before="0" w:line="276"/>
            </w:pPr>
            <w:r>
              <w:rPr>
                <w:rFonts w:ascii="Calibri" w:cs="Calibri" w:eastAsia="Calibri" w:hAnsi="Calibri"/>
                <w:b/>
                <w:bCs/>
                <w:caps/>
                <w:color w:val="FFFFFF"/>
                <w:sz w:val="15"/>
                <w:szCs w:val="15"/>
              </w:rPr>
              <w:t xml:space="preserve">Level</w:t>
            </w:r>
          </w:p>
        </w:tc>
        <w:tc>
          <w:tcPr>
            <w:tcW w:type="dxa" w:w="676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120"/>
            </w:tcMar>
          </w:tcPr>
          <w:p>
            <w:pPr>
              <w:spacing w:after="0" w:before="0" w:line="276"/>
            </w:pPr>
            <w:r>
              <w:rPr>
                <w:rFonts w:ascii="Calibri" w:cs="Calibri" w:eastAsia="Calibri" w:hAnsi="Calibri"/>
                <w:b/>
                <w:bCs/>
                <w:caps/>
                <w:color w:val="FFFFFF"/>
                <w:sz w:val="15"/>
                <w:szCs w:val="15"/>
              </w:rPr>
              <w:t xml:space="preserve">What the answer demonstrates</w:t>
            </w:r>
          </w:p>
        </w:tc>
        <w:tc>
          <w:tcPr>
            <w:tcW w:type="dxa" w:w="90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120"/>
            </w:tcMar>
          </w:tcPr>
          <w:p>
            <w:pPr>
              <w:spacing w:after="0" w:before="0" w:line="276"/>
            </w:pPr>
            <w:r>
              <w:rPr>
                <w:rFonts w:ascii="Calibri" w:cs="Calibri" w:eastAsia="Calibri" w:hAnsi="Calibri"/>
                <w:b/>
                <w:bCs/>
                <w:caps/>
                <w:color w:val="FFFFFF"/>
                <w:sz w:val="15"/>
                <w:szCs w:val="15"/>
              </w:rPr>
              <w:t xml:space="preserve">Points</w:t>
            </w:r>
          </w:p>
        </w:tc>
      </w:tr>
      <w:tr>
        <w:tc>
          <w:tcPr>
            <w:tcW w:type="dxa" w:w="1700"/>
            <w:tcBorders>
              <w:top w:val="none" w:color="FFFFFF" w:sz="0"/>
              <w:left w:val="single" w:color="27A276" w:sz="48"/>
              <w:bottom w:val="single" w:color="E4EBF3" w:sz="4"/>
              <w:right w:val="none" w:color="FFFFFF" w:sz="0"/>
            </w:tcBorders>
            <w:tcMar>
              <w:top w:type="dxa" w:w="80"/>
              <w:left w:type="dxa" w:w="150"/>
              <w:bottom w:type="dxa" w:w="80"/>
              <w:right w:type="dxa" w:w="100"/>
            </w:tcMar>
            <w:vAlign w:val="top"/>
          </w:tcPr>
          <w:p>
            <w:pPr>
              <w:spacing w:after="10" w:before="0" w:line="276"/>
            </w:pPr>
            <w:r>
              <w:rPr>
                <w:rFonts w:ascii="Calibri" w:cs="Calibri" w:eastAsia="Calibri" w:hAnsi="Calibri"/>
                <w:b/>
                <w:bCs/>
                <w:color w:val="1F8A63"/>
                <w:sz w:val="20"/>
                <w:szCs w:val="20"/>
              </w:rPr>
              <w:t xml:space="preserve">Expert</w:t>
            </w:r>
          </w:p>
          <w:p>
            <w:pPr>
              <w:spacing w:after="0" w:before="0" w:line="276"/>
            </w:pPr>
            <w:r>
              <w:rPr>
                <w:rFonts w:ascii="Calibri" w:cs="Calibri" w:eastAsia="Calibri" w:hAnsi="Calibri"/>
                <w:color w:val="7E8CA1"/>
                <w:sz w:val="15"/>
                <w:szCs w:val="15"/>
              </w:rPr>
              <w:t xml:space="preserve">the goal</w:t>
            </w:r>
          </w:p>
        </w:tc>
        <w:tc>
          <w:tcPr>
            <w:tcW w:type="dxa" w:w="6760"/>
            <w:tcBorders>
              <w:top w:val="none" w:color="FFFFFF" w:sz="0"/>
              <w:left w:val="none" w:color="FFFFFF" w:sz="0"/>
              <w:bottom w:val="single" w:color="E4EBF3" w:sz="4"/>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 product and capability; reasoning specific to Cedarline's constraints (regulated / EU-AI-Act data, encrypted-traffic compliance limits, ~10k-rule segmentation failures, two-engineer team, three cloud policy models, inherited rulebase); states the outcome / how it helps; connects into the wider Hybrid Mesh Firewall design.</w:t>
            </w:r>
          </w:p>
        </w:tc>
        <w:tc>
          <w:tcPr>
            <w:tcW w:type="dxa" w:w="900"/>
            <w:tcBorders>
              <w:top w:val="none" w:color="FFFFFF" w:sz="0"/>
              <w:left w:val="none" w:color="FFFFFF" w:sz="0"/>
              <w:bottom w:val="single" w:color="E4EBF3" w:sz="4"/>
              <w:right w:val="none" w:color="FFFFFF" w:sz="0"/>
            </w:tcBorders>
            <w:tcMar>
              <w:top w:type="dxa" w:w="80"/>
              <w:left w:type="dxa" w:w="100"/>
              <w:bottom w:type="dxa" w:w="80"/>
              <w:right w:type="dxa" w:w="120"/>
            </w:tcMar>
            <w:vAlign w:val="top"/>
          </w:tcPr>
          <w:p>
            <w:pPr>
              <w:spacing w:after="0" w:before="0" w:line="276"/>
            </w:pPr>
            <w:r>
              <w:rPr>
                <w:rFonts w:ascii="Calibri" w:cs="Calibri" w:eastAsia="Calibri" w:hAnsi="Calibri"/>
                <w:b/>
                <w:bCs/>
                <w:color w:val="1F8A63"/>
                <w:sz w:val="20"/>
                <w:szCs w:val="20"/>
              </w:rPr>
              <w:t xml:space="preserve">21–25</w:t>
            </w:r>
          </w:p>
        </w:tc>
      </w:tr>
      <w:tr>
        <w:tc>
          <w:tcPr>
            <w:tcW w:type="dxa" w:w="1700"/>
            <w:tcBorders>
              <w:top w:val="none" w:color="FFFFFF" w:sz="0"/>
              <w:left w:val="single" w:color="00BCEB" w:sz="48"/>
              <w:bottom w:val="single" w:color="E4EBF3" w:sz="4"/>
              <w:right w:val="none" w:color="FFFFFF" w:sz="0"/>
            </w:tcBorders>
            <w:tcMar>
              <w:top w:type="dxa" w:w="80"/>
              <w:left w:type="dxa" w:w="150"/>
              <w:bottom w:type="dxa" w:w="80"/>
              <w:right w:type="dxa" w:w="100"/>
            </w:tcMar>
            <w:vAlign w:val="top"/>
          </w:tcPr>
          <w:p>
            <w:pPr>
              <w:spacing w:after="0" w:before="0" w:line="276"/>
            </w:pPr>
            <w:r>
              <w:rPr>
                <w:rFonts w:ascii="Calibri" w:cs="Calibri" w:eastAsia="Calibri" w:hAnsi="Calibri"/>
                <w:b/>
                <w:bCs/>
                <w:color w:val="036C8F"/>
                <w:sz w:val="20"/>
                <w:szCs w:val="20"/>
              </w:rPr>
              <w:t xml:space="preserve">Professional</w:t>
            </w:r>
          </w:p>
          <w:p>
            <w:pPr>
              <w:spacing w:after="0" w:before="0" w:line="276"/>
            </w:pPr>
            <w:r>
              <w:rPr>
                <w:rFonts w:ascii="Calibri" w:cs="Calibri" w:eastAsia="Calibri" w:hAnsi="Calibri"/>
                <w:color w:val="14263A"/>
                <w:sz w:val="2"/>
                <w:szCs w:val="2"/>
              </w:rPr>
              <w:t xml:space="preserve"/>
            </w:r>
          </w:p>
        </w:tc>
        <w:tc>
          <w:tcPr>
            <w:tcW w:type="dxa" w:w="6760"/>
            <w:tcBorders>
              <w:top w:val="none" w:color="FFFFFF" w:sz="0"/>
              <w:left w:val="none" w:color="FFFFFF" w:sz="0"/>
              <w:bottom w:val="single" w:color="E4EBF3" w:sz="4"/>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Correct, appropriate product; explains how it addresses the concern with sound Cisco Secure / HMF reasoning; shows some Cedarline context but may miss the outcome or the broader architecture tie-in.</w:t>
            </w:r>
          </w:p>
        </w:tc>
        <w:tc>
          <w:tcPr>
            <w:tcW w:type="dxa" w:w="900"/>
            <w:tcBorders>
              <w:top w:val="none" w:color="FFFFFF" w:sz="0"/>
              <w:left w:val="none" w:color="FFFFFF" w:sz="0"/>
              <w:bottom w:val="single" w:color="E4EBF3" w:sz="4"/>
              <w:right w:val="none" w:color="FFFFFF" w:sz="0"/>
            </w:tcBorders>
            <w:tcMar>
              <w:top w:type="dxa" w:w="80"/>
              <w:left w:type="dxa" w:w="100"/>
              <w:bottom w:type="dxa" w:w="80"/>
              <w:right w:type="dxa" w:w="120"/>
            </w:tcMar>
            <w:vAlign w:val="top"/>
          </w:tcPr>
          <w:p>
            <w:pPr>
              <w:spacing w:after="0" w:before="0" w:line="276"/>
            </w:pPr>
            <w:r>
              <w:rPr>
                <w:rFonts w:ascii="Calibri" w:cs="Calibri" w:eastAsia="Calibri" w:hAnsi="Calibri"/>
                <w:b/>
                <w:bCs/>
                <w:color w:val="036C8F"/>
                <w:sz w:val="20"/>
                <w:szCs w:val="20"/>
              </w:rPr>
              <w:t xml:space="preserve">14–20</w:t>
            </w:r>
          </w:p>
        </w:tc>
      </w:tr>
      <w:tr>
        <w:tc>
          <w:tcPr>
            <w:tcW w:type="dxa" w:w="1700"/>
            <w:tcBorders>
              <w:top w:val="none" w:color="FFFFFF" w:sz="0"/>
              <w:left w:val="single" w:color="E2891F" w:sz="48"/>
              <w:bottom w:val="single" w:color="E4EBF3" w:sz="4"/>
              <w:right w:val="none" w:color="FFFFFF" w:sz="0"/>
            </w:tcBorders>
            <w:tcMar>
              <w:top w:type="dxa" w:w="80"/>
              <w:left w:type="dxa" w:w="150"/>
              <w:bottom w:type="dxa" w:w="80"/>
              <w:right w:type="dxa" w:w="100"/>
            </w:tcMar>
            <w:vAlign w:val="top"/>
          </w:tcPr>
          <w:p>
            <w:pPr>
              <w:spacing w:after="0" w:before="0" w:line="276"/>
            </w:pPr>
            <w:r>
              <w:rPr>
                <w:rFonts w:ascii="Calibri" w:cs="Calibri" w:eastAsia="Calibri" w:hAnsi="Calibri"/>
                <w:b/>
                <w:bCs/>
                <w:color w:val="B4711A"/>
                <w:sz w:val="20"/>
                <w:szCs w:val="20"/>
              </w:rPr>
              <w:t xml:space="preserve">Associate</w:t>
            </w:r>
          </w:p>
          <w:p>
            <w:pPr>
              <w:spacing w:after="0" w:before="0" w:line="276"/>
            </w:pPr>
            <w:r>
              <w:rPr>
                <w:rFonts w:ascii="Calibri" w:cs="Calibri" w:eastAsia="Calibri" w:hAnsi="Calibri"/>
                <w:color w:val="14263A"/>
                <w:sz w:val="2"/>
                <w:szCs w:val="2"/>
              </w:rPr>
              <w:t xml:space="preserve"/>
            </w:r>
          </w:p>
        </w:tc>
        <w:tc>
          <w:tcPr>
            <w:tcW w:type="dxa" w:w="6760"/>
            <w:tcBorders>
              <w:top w:val="none" w:color="FFFFFF" w:sz="0"/>
              <w:left w:val="none" w:color="FFFFFF" w:sz="0"/>
              <w:bottom w:val="single" w:color="E4EBF3" w:sz="4"/>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a plausible / appropriate product and identifies the problem, but the reasoning is generic, partial, or product-name-only — the “how” is thin or missing.</w:t>
            </w:r>
          </w:p>
        </w:tc>
        <w:tc>
          <w:tcPr>
            <w:tcW w:type="dxa" w:w="900"/>
            <w:tcBorders>
              <w:top w:val="none" w:color="FFFFFF" w:sz="0"/>
              <w:left w:val="none" w:color="FFFFFF" w:sz="0"/>
              <w:bottom w:val="single" w:color="E4EBF3" w:sz="4"/>
              <w:right w:val="none" w:color="FFFFFF" w:sz="0"/>
            </w:tcBorders>
            <w:tcMar>
              <w:top w:type="dxa" w:w="80"/>
              <w:left w:type="dxa" w:w="100"/>
              <w:bottom w:type="dxa" w:w="80"/>
              <w:right w:type="dxa" w:w="120"/>
            </w:tcMar>
            <w:vAlign w:val="top"/>
          </w:tcPr>
          <w:p>
            <w:pPr>
              <w:spacing w:after="0" w:before="0" w:line="276"/>
            </w:pPr>
            <w:r>
              <w:rPr>
                <w:rFonts w:ascii="Calibri" w:cs="Calibri" w:eastAsia="Calibri" w:hAnsi="Calibri"/>
                <w:b/>
                <w:bCs/>
                <w:color w:val="B4711A"/>
                <w:sz w:val="20"/>
                <w:szCs w:val="20"/>
              </w:rPr>
              <w:t xml:space="preserve">6–13</w:t>
            </w:r>
          </w:p>
        </w:tc>
      </w:tr>
      <w:tr>
        <w:tc>
          <w:tcPr>
            <w:tcW w:type="dxa" w:w="1700"/>
            <w:tcBorders>
              <w:top w:val="none" w:color="FFFFFF" w:sz="0"/>
              <w:left w:val="single" w:color="B9C4D2" w:sz="48"/>
              <w:bottom w:val="single" w:color="E4EBF3" w:sz="4"/>
              <w:right w:val="none" w:color="FFFFFF" w:sz="0"/>
            </w:tcBorders>
            <w:tcMar>
              <w:top w:type="dxa" w:w="80"/>
              <w:left w:type="dxa" w:w="150"/>
              <w:bottom w:type="dxa" w:w="80"/>
              <w:right w:type="dxa" w:w="100"/>
            </w:tcMar>
            <w:vAlign w:val="top"/>
          </w:tcPr>
          <w:p>
            <w:pPr>
              <w:spacing w:after="0" w:before="0" w:line="276"/>
            </w:pPr>
            <w:r>
              <w:rPr>
                <w:rFonts w:ascii="Calibri" w:cs="Calibri" w:eastAsia="Calibri" w:hAnsi="Calibri"/>
                <w:b/>
                <w:bCs/>
                <w:color w:val="7E8CA1"/>
                <w:sz w:val="20"/>
                <w:szCs w:val="20"/>
              </w:rPr>
              <w:t xml:space="preserve">Not yet</w:t>
            </w:r>
          </w:p>
          <w:p>
            <w:pPr>
              <w:spacing w:after="0" w:before="0" w:line="276"/>
            </w:pPr>
            <w:r>
              <w:rPr>
                <w:rFonts w:ascii="Calibri" w:cs="Calibri" w:eastAsia="Calibri" w:hAnsi="Calibri"/>
                <w:color w:val="14263A"/>
                <w:sz w:val="2"/>
                <w:szCs w:val="2"/>
              </w:rPr>
              <w:t xml:space="preserve"/>
            </w:r>
          </w:p>
        </w:tc>
        <w:tc>
          <w:tcPr>
            <w:tcW w:type="dxa" w:w="6760"/>
            <w:tcBorders>
              <w:top w:val="none" w:color="FFFFFF" w:sz="0"/>
              <w:left w:val="none" w:color="FFFFFF" w:sz="0"/>
              <w:bottom w:val="single" w:color="E4EBF3" w:sz="4"/>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supporting reasoning.</w:t>
            </w:r>
          </w:p>
        </w:tc>
        <w:tc>
          <w:tcPr>
            <w:tcW w:type="dxa" w:w="900"/>
            <w:tcBorders>
              <w:top w:val="none" w:color="FFFFFF" w:sz="0"/>
              <w:left w:val="none" w:color="FFFFFF" w:sz="0"/>
              <w:bottom w:val="single" w:color="E4EBF3" w:sz="4"/>
              <w:right w:val="none" w:color="FFFFFF" w:sz="0"/>
            </w:tcBorders>
            <w:tcMar>
              <w:top w:type="dxa" w:w="80"/>
              <w:left w:type="dxa" w:w="100"/>
              <w:bottom w:type="dxa" w:w="80"/>
              <w:right w:type="dxa" w:w="120"/>
            </w:tcMar>
            <w:vAlign w:val="top"/>
          </w:tcPr>
          <w:p>
            <w:pPr>
              <w:spacing w:after="0" w:before="0" w:line="276"/>
            </w:pPr>
            <w:r>
              <w:rPr>
                <w:rFonts w:ascii="Calibri" w:cs="Calibri" w:eastAsia="Calibri" w:hAnsi="Calibri"/>
                <w:b/>
                <w:bCs/>
                <w:color w:val="7E8CA1"/>
                <w:sz w:val="20"/>
                <w:szCs w:val="20"/>
              </w:rPr>
              <w:t xml:space="preserve">0–5</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Grading principles.  </w:t>
            </w:r>
            <w:r>
              <w:rPr>
                <w:rFonts w:ascii="Calibri" w:cs="Calibri" w:eastAsia="Calibri" w:hAnsi="Calibri"/>
                <w:color w:val="33465F"/>
                <w:sz w:val="20"/>
                <w:szCs w:val="20"/>
              </w:rPr>
              <w:t xml:space="preserve">Reward reasoning over product-name-matching — a right product with no “how” caps at Associate. Reward specificity to Cedarline over generic best-practice. Partial credit is fine: score the level the answer actually reaches. Be consistent across teams for the same pain point.</w:t>
            </w:r>
          </w:p>
        </w:tc>
      </w:tr>
    </w:tbl>
    <w:p>
      <w:pPr>
        <w:spacing w:after="80" w:before="160" w:line="276"/>
      </w:pPr>
      <w:r>
        <w:rPr>
          <w:rFonts w:ascii="Calibri" w:cs="Calibri" w:eastAsia="Calibri" w:hAnsi="Calibri"/>
          <w:b/>
          <w:bCs/>
          <w:color w:val="0D274D"/>
          <w:sz w:val="30"/>
          <w:szCs w:val="30"/>
        </w:rPr>
        <w:t xml:space="preserve">Level bands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080"/>
            <w:tcBorders>
              <w:top w:val="single" w:color="F0CE97" w:sz="6"/>
              <w:left w:val="single" w:color="F0CE97" w:sz="6"/>
              <w:bottom w:val="single" w:color="F0CE97" w:sz="6"/>
              <w:right w:val="single" w:color="F0CE97" w:sz="6"/>
            </w:tcBorders>
            <w:tcMar>
              <w:top w:type="dxa" w:w="100"/>
              <w:left w:type="dxa" w:w="140"/>
              <w:bottom w:type="dxa" w:w="100"/>
              <w:right w:type="dxa" w:w="140"/>
            </w:tcMar>
          </w:tcPr>
          <w:p>
            <w:pPr>
              <w:spacing w:after="40" w:before="0" w:line="276"/>
            </w:pPr>
            <w:r>
              <w:rPr>
                <w:rFonts w:ascii="Calibri" w:cs="Calibri" w:eastAsia="Calibri" w:hAnsi="Calibri"/>
                <w:b/>
                <w:bCs/>
                <w:color w:val="B4711A"/>
                <w:sz w:val="20"/>
                <w:szCs w:val="20"/>
              </w:rPr>
              <w:t xml:space="preserve">Associate</w:t>
            </w:r>
          </w:p>
          <w:p>
            <w:pPr>
              <w:spacing w:after="0" w:before="0" w:line="276"/>
            </w:pPr>
            <w:r>
              <w:rPr>
                <w:rFonts w:ascii="Calibri" w:cs="Calibri" w:eastAsia="Calibri" w:hAnsi="Calibri"/>
                <w:color w:val="46566E"/>
                <w:sz w:val="16"/>
                <w:szCs w:val="16"/>
              </w:rPr>
              <w:t xml:space="preserve">Case Study 40–64 / 100</w:t>
            </w:r>
            <w:r>
              <w:rPr>
                <w:rFonts w:ascii="Calibri" w:cs="Calibri" w:eastAsia="Calibri" w:hAnsi="Calibri"/>
                <w:color w:val="46566E"/>
                <w:sz w:val="16"/>
                <w:szCs w:val="16"/>
              </w:rPr>
              <w:t xml:space="preserve">
Overall 160–259 / 400</w:t>
            </w:r>
          </w:p>
        </w:tc>
        <w:tc>
          <w:tcPr>
            <w:tcW w:type="dxa" w:w="3080"/>
            <w:tcBorders>
              <w:top w:val="single" w:color="B7E6F3" w:sz="6"/>
              <w:left w:val="single" w:color="B7E6F3" w:sz="6"/>
              <w:bottom w:val="single" w:color="B7E6F3" w:sz="6"/>
              <w:right w:val="single" w:color="B7E6F3" w:sz="6"/>
            </w:tcBorders>
            <w:tcMar>
              <w:top w:type="dxa" w:w="100"/>
              <w:left w:type="dxa" w:w="140"/>
              <w:bottom w:type="dxa" w:w="100"/>
              <w:right w:type="dxa" w:w="140"/>
            </w:tcMar>
          </w:tcPr>
          <w:p>
            <w:pPr>
              <w:spacing w:after="40" w:before="0" w:line="276"/>
            </w:pPr>
            <w:r>
              <w:rPr>
                <w:rFonts w:ascii="Calibri" w:cs="Calibri" w:eastAsia="Calibri" w:hAnsi="Calibri"/>
                <w:b/>
                <w:bCs/>
                <w:color w:val="036C8F"/>
                <w:sz w:val="20"/>
                <w:szCs w:val="20"/>
              </w:rPr>
              <w:t xml:space="preserve">Professional</w:t>
            </w:r>
          </w:p>
          <w:p>
            <w:pPr>
              <w:spacing w:after="0" w:before="0" w:line="276"/>
            </w:pPr>
            <w:r>
              <w:rPr>
                <w:rFonts w:ascii="Calibri" w:cs="Calibri" w:eastAsia="Calibri" w:hAnsi="Calibri"/>
                <w:color w:val="46566E"/>
                <w:sz w:val="16"/>
                <w:szCs w:val="16"/>
              </w:rPr>
              <w:t xml:space="preserve">Case Study 65–84 / 100</w:t>
            </w:r>
            <w:r>
              <w:rPr>
                <w:rFonts w:ascii="Calibri" w:cs="Calibri" w:eastAsia="Calibri" w:hAnsi="Calibri"/>
                <w:color w:val="46566E"/>
                <w:sz w:val="16"/>
                <w:szCs w:val="16"/>
              </w:rPr>
              <w:t xml:space="preserve">
Overall 260–339 / 400</w:t>
            </w:r>
          </w:p>
        </w:tc>
        <w:tc>
          <w:tcPr>
            <w:tcW w:type="dxa" w:w="3080"/>
            <w:tcBorders>
              <w:top w:val="single" w:color="A9DEC9" w:sz="6"/>
              <w:left w:val="single" w:color="A9DEC9" w:sz="6"/>
              <w:bottom w:val="single" w:color="A9DEC9" w:sz="6"/>
              <w:right w:val="single" w:color="A9DEC9" w:sz="6"/>
            </w:tcBorders>
            <w:tcMar>
              <w:top w:type="dxa" w:w="100"/>
              <w:left w:type="dxa" w:w="140"/>
              <w:bottom w:type="dxa" w:w="100"/>
              <w:right w:type="dxa" w:w="140"/>
            </w:tcMar>
          </w:tcPr>
          <w:p>
            <w:pPr>
              <w:spacing w:after="40" w:before="0" w:line="276"/>
            </w:pPr>
            <w:r>
              <w:rPr>
                <w:rFonts w:ascii="Calibri" w:cs="Calibri" w:eastAsia="Calibri" w:hAnsi="Calibri"/>
                <w:b/>
                <w:bCs/>
                <w:color w:val="1F8A63"/>
                <w:sz w:val="20"/>
                <w:szCs w:val="20"/>
              </w:rPr>
              <w:t xml:space="preserve">Expert</w:t>
            </w:r>
          </w:p>
          <w:p>
            <w:pPr>
              <w:spacing w:after="0" w:before="0" w:line="276"/>
            </w:pPr>
            <w:r>
              <w:rPr>
                <w:rFonts w:ascii="Calibri" w:cs="Calibri" w:eastAsia="Calibri" w:hAnsi="Calibri"/>
                <w:color w:val="46566E"/>
                <w:sz w:val="16"/>
                <w:szCs w:val="16"/>
              </w:rPr>
              <w:t xml:space="preserve">Case Study 85–100 / 100</w:t>
            </w:r>
            <w:r>
              <w:rPr>
                <w:rFonts w:ascii="Calibri" w:cs="Calibri" w:eastAsia="Calibri" w:hAnsi="Calibri"/>
                <w:color w:val="46566E"/>
                <w:sz w:val="16"/>
                <w:szCs w:val="16"/>
              </w:rPr>
              <w:t xml:space="preserve">
Overall 340–400 / 400</w:t>
            </w:r>
          </w:p>
        </w:tc>
      </w:tr>
    </w:tbl>
    <w:p>
      <w:pPr>
        <w:spacing w:after="10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Below Associate (Case Study &lt; 40 / Overall &lt; 160): Developing</w:t>
            </w:r>
            <w:r>
              <w:rPr>
                <w:rFonts w:ascii="Calibri" w:cs="Calibri" w:eastAsia="Calibri" w:hAnsi="Calibri"/>
                <w:color w:val="33465F"/>
                <w:sz w:val="20"/>
                <w:szCs w:val="20"/>
              </w:rPr>
              <w:t xml:space="preserve">  — the team has started but has not yet consistently reached Associate-level reasoning.</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1 · grading</w:t>
      </w:r>
    </w:p>
    <w:p>
      <w:pPr>
        <w:spacing w:after="60" w:before="0" w:line="276"/>
      </w:pPr>
      <w:r>
        <w:rPr>
          <w:rFonts w:ascii="Calibri" w:cs="Calibri" w:eastAsia="Calibri" w:hAnsi="Calibri"/>
          <w:b/>
          <w:bCs/>
          <w:color w:val="0D274D"/>
          <w:sz w:val="42"/>
          <w:szCs w:val="42"/>
        </w:rPr>
        <w:t xml:space="preserve">AI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Expected answers by level for each pain point.  </w:t>
            </w:r>
            <w:r>
              <w:rPr>
                <w:rFonts w:ascii="Calibri" w:cs="Calibri" w:eastAsia="Calibri" w:hAnsi="Calibri"/>
                <w:color w:val="33465F"/>
                <w:sz w:val="20"/>
                <w:szCs w:val="20"/>
              </w:rPr>
              <w:t xml:space="preserve">Use these as the yardstick — built from the solution guide. Score each pain point /25, then complete the feedback and total at the end.</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1.  </w:t>
            </w: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AI Defense (AI Model and Application Validation) and explains how it addresses the concern: Cisco AI Defense is specifically designed to support Provider obligations under the EU AI Act. We utilize algorithmic red teaming technology for AI Model &amp; App Validation, which identifies safety and security vulnerabilities at scale.</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AI Defense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2.  </w:t>
            </w: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It enables "Shift-Left" security by creating an inventory of all AI models and agents. By identifying vulnerabilities before production, it prevents the introduction of malicious code or poisoned data into your ecosystem.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AI Defense (Supply Chain Risk Management) and explains how it addresses the concern: Cisco AI Defense addresses this through proactive Supply Chain Risk Management. We scan your model files, repositories, and MCP servers to identify malicious or unsafe assets.</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AI Defense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3.  </w:t>
            </w: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dentifies rogue or unsanctioned AI assets Maps relationships across data, models, agents, and tools Gives security teams a single-pane-of-glass view of AI exposure Helps close gaps before unknown AI usage becomes a production risk.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Cisco AI Defense - AI Cloud Visibility (Ai Cloud Visibility) and explains how it addresses the concern: That's exactly the visibility gap Cisco AI Defense is built to solve. With AI Cloud Visibility, Cisco AI Defense continuously discovers AI assets across distributed cloud environments, including models, agents, datasets, MCP servers, and agent-to-tool workflows.</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Cisco AI Defense - AI Cloud Visibility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4.  </w:t>
            </w: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Finds AI assets in cloud accounts Identifies third-party AI model usage Uses existing cloud-network control points for enforcement Avoids relying only on application-level changes.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AI Defense = AI visibility and guardrail integration Multicloud Defense = cloud account connection, traffic visibility, policy attachment, and egress enforcement (AI Runtime Protection) and explains how it addresses the concern: That's exactly what the AI Defense-Multicloud Defense integration is designed to address. Cisco AI Defense uses the integration to discover AI assets in your cloud environments and identify external AI destinations your workloads are calling.</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AI Defense = AI visibility and guardrail integration Multicloud Defense = cloud account connection, traffic visibility, policy attachment, and egress enforcement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20"/>
        </w:tblBorders>
      </w:tblPr>
      <w:tblGrid>
        <w:gridCol w:w="4680"/>
        <w:gridCol w:w="4680"/>
      </w:tblGrid>
      <w:tr>
        <w:trPr>
          <w:trHeight w:val="2000" w:hRule="atLeast"/>
        </w:trPr>
        <w:tc>
          <w:tcPr>
            <w:tcW w:type="dxa" w:w="462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7A276" w:color="auto" w:val="clear"/>
              <w:spacing w:after="60" w:before="0"/>
            </w:pPr>
            <w:r>
              <w:rPr>
                <w:rFonts w:ascii="Calibri" w:cs="Calibri" w:eastAsia="Calibri" w:hAnsi="Calibri"/>
                <w:b/>
                <w:bCs/>
                <w:color w:val="FFFFFF"/>
                <w:sz w:val="19"/>
                <w:szCs w:val="19"/>
              </w:rPr>
              <w:t xml:space="preserve">  ✓  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2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E2891F" w:color="auto" w:val="clear"/>
              <w:spacing w:after="60" w:before="0"/>
            </w:pPr>
            <w:r>
              <w:rPr>
                <w:rFonts w:ascii="Calibri" w:cs="Calibri" w:eastAsia="Calibri" w:hAnsi="Calibri"/>
                <w:b/>
                <w:bCs/>
                <w:color w:val="FFFFFF"/>
                <w:sz w:val="19"/>
                <w:szCs w:val="19"/>
              </w:rPr>
              <w:t xml:space="preserve">  →  Where they can improve</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274D" w:color="auto" w:val="clear"/>
            <w:tcMar>
              <w:top w:type="dxa" w:w="120"/>
              <w:left w:type="dxa" w:w="160"/>
              <w:bottom w:type="dxa" w:w="120"/>
              <w:right w:type="dxa" w:w="160"/>
            </w:tcMar>
          </w:tcPr>
          <w:p>
            <w:pPr>
              <w:spacing w:after="0"/>
            </w:pPr>
            <w:r>
              <w:rPr>
                <w:rFonts w:ascii="Calibri" w:cs="Calibri" w:eastAsia="Calibri" w:hAnsi="Calibri"/>
                <w:b/>
                <w:bCs/>
                <w:color w:val="FFFFFF"/>
                <w:sz w:val="21"/>
                <w:szCs w:val="21"/>
              </w:rPr>
              <w:t xml:space="preserve">Case Study 1 total  ______ / 100        Level:  </w:t>
            </w:r>
            <w:r>
              <w:rPr>
                <w:rFonts w:ascii="Calibri" w:cs="Calibri" w:eastAsia="Calibri" w:hAnsi="Calibri"/>
                <w:color w:val="C7D6E8"/>
                <w:sz w:val="19"/>
                <w:szCs w:val="19"/>
              </w:rPr>
              <w:t xml:space="preserve">▢ Associate   ▢ Professional   ▢ Expert   ▢ Developing</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2 · grading</w:t>
      </w:r>
    </w:p>
    <w:p>
      <w:pPr>
        <w:spacing w:after="60" w:before="0" w:line="276"/>
      </w:pPr>
      <w:r>
        <w:rPr>
          <w:rFonts w:ascii="Calibri" w:cs="Calibri" w:eastAsia="Calibri" w:hAnsi="Calibri"/>
          <w:b/>
          <w:bCs/>
          <w:color w:val="0D274D"/>
          <w:sz w:val="42"/>
          <w:szCs w:val="42"/>
        </w:rPr>
        <w:t xml:space="preserve">Cloud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Expected answers by level for each pain point.  </w:t>
            </w:r>
            <w:r>
              <w:rPr>
                <w:rFonts w:ascii="Calibri" w:cs="Calibri" w:eastAsia="Calibri" w:hAnsi="Calibri"/>
                <w:color w:val="33465F"/>
                <w:sz w:val="20"/>
                <w:szCs w:val="20"/>
              </w:rPr>
              <w:t xml:space="preserve">Use these as the yardstick — built from the solution guide. Score each pain point /25, then complete the feedback and total at the end.</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1.  </w:t>
            </w: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It provides granular visibility and control over east-west traffic. By applying Zero Trust principles across the hybrid fabric, you transform your network into a series of secure, isolated zones that prevent an attacker from pivoting through your infrastructure.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Multicloud Defense (Multicloud Defense Gateways) and explains how it addresses the concern: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Multicloud Defense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2.  </w:t>
            </w: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It automates the collection of evidence for security audits. By consolidating logs and policy enforcement data, you create a "single source of truth" that simplifies compliance reporting and demonstrates proactive governance to regulators.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Multicloud Defense (Multicloud Defense Visibility) and explains how it addresses the concern: 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Multicloud Defense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3.  </w:t>
            </w: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It replaces siloed, manual configuration with centralized orchestration. By abstracting the security policy from the cloud-native tools, it ensures that your security posture is uniform and eliminates the "configuration drift" that occurs when managing multiple cloud consoles.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Multicloud Defense (Unified Security across public clouds) and explains how it addresses the concern: 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Multicloud Defense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4.  </w:t>
            </w: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Reduces policy drift across hybrid and multicloud environments Aligns policy to application behavior, not just static IP-based rules Supports consistent macro and micro controls together.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Cisco Secure Workload Cisco Secure Firewall Cisco Secure Firewall Management Center (FMC) Cisco Security Cloud Control (Secure Workload Integration with Secure Firewall Management Center) and explains how it addresses the concern: That's a common hybrid environment challenge. Cisco Secure Workload helps create a more unified segmentation model by using application dependency awareness and AI/ML-driven policy discovery to define policy based on how workloads actually communicate.</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Cisco Secure Workload Cisco Secure Firewall Cisco Secure Firewall Management Center (FMC) Cisco Security Cloud Control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20"/>
        </w:tblBorders>
      </w:tblPr>
      <w:tblGrid>
        <w:gridCol w:w="4680"/>
        <w:gridCol w:w="4680"/>
      </w:tblGrid>
      <w:tr>
        <w:trPr>
          <w:trHeight w:val="2000" w:hRule="atLeast"/>
        </w:trPr>
        <w:tc>
          <w:tcPr>
            <w:tcW w:type="dxa" w:w="462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7A276" w:color="auto" w:val="clear"/>
              <w:spacing w:after="60" w:before="0"/>
            </w:pPr>
            <w:r>
              <w:rPr>
                <w:rFonts w:ascii="Calibri" w:cs="Calibri" w:eastAsia="Calibri" w:hAnsi="Calibri"/>
                <w:b/>
                <w:bCs/>
                <w:color w:val="FFFFFF"/>
                <w:sz w:val="19"/>
                <w:szCs w:val="19"/>
              </w:rPr>
              <w:t xml:space="preserve">  ✓  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2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E2891F" w:color="auto" w:val="clear"/>
              <w:spacing w:after="60" w:before="0"/>
            </w:pPr>
            <w:r>
              <w:rPr>
                <w:rFonts w:ascii="Calibri" w:cs="Calibri" w:eastAsia="Calibri" w:hAnsi="Calibri"/>
                <w:b/>
                <w:bCs/>
                <w:color w:val="FFFFFF"/>
                <w:sz w:val="19"/>
                <w:szCs w:val="19"/>
              </w:rPr>
              <w:t xml:space="preserve">  →  Where they can improve</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274D" w:color="auto" w:val="clear"/>
            <w:tcMar>
              <w:top w:type="dxa" w:w="120"/>
              <w:left w:type="dxa" w:w="160"/>
              <w:bottom w:type="dxa" w:w="120"/>
              <w:right w:type="dxa" w:w="160"/>
            </w:tcMar>
          </w:tcPr>
          <w:p>
            <w:pPr>
              <w:spacing w:after="0"/>
            </w:pPr>
            <w:r>
              <w:rPr>
                <w:rFonts w:ascii="Calibri" w:cs="Calibri" w:eastAsia="Calibri" w:hAnsi="Calibri"/>
                <w:b/>
                <w:bCs/>
                <w:color w:val="FFFFFF"/>
                <w:sz w:val="21"/>
                <w:szCs w:val="21"/>
              </w:rPr>
              <w:t xml:space="preserve">Case Study 2 total  ______ / 100        Level:  </w:t>
            </w:r>
            <w:r>
              <w:rPr>
                <w:rFonts w:ascii="Calibri" w:cs="Calibri" w:eastAsia="Calibri" w:hAnsi="Calibri"/>
                <w:color w:val="C7D6E8"/>
                <w:sz w:val="19"/>
                <w:szCs w:val="19"/>
              </w:rPr>
              <w:t xml:space="preserve">▢ Associate   ▢ Professional   ▢ Expert   ▢ Developing</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3 · grading</w:t>
      </w:r>
    </w:p>
    <w:p>
      <w:pPr>
        <w:spacing w:after="60" w:before="0" w:line="276"/>
      </w:pPr>
      <w:r>
        <w:rPr>
          <w:rFonts w:ascii="Calibri" w:cs="Calibri" w:eastAsia="Calibri" w:hAnsi="Calibri"/>
          <w:b/>
          <w:bCs/>
          <w:color w:val="0D274D"/>
          <w:sz w:val="42"/>
          <w:szCs w:val="42"/>
        </w:rPr>
        <w:t xml:space="preserve">DC Edge — Perimeter Firewall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Expected answers by level for each pain point.  </w:t>
            </w:r>
            <w:r>
              <w:rPr>
                <w:rFonts w:ascii="Calibri" w:cs="Calibri" w:eastAsia="Calibri" w:hAnsi="Calibri"/>
                <w:color w:val="33465F"/>
                <w:sz w:val="20"/>
                <w:szCs w:val="20"/>
              </w:rPr>
              <w:t xml:space="preserve">Use these as the yardstick — built from the solution guide. Score each pain point /25, then complete the feedback and total at the end.</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1.  </w:t>
            </w: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It automates the "Response" phase of the incident lifecycle. By bridging the gap between detection and enforcement, it stops threats at the speed of the network.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ISE (Security Group Tags (pxGrid integration)) and explains how it addresses the concern: Cisco ISE integrates with your security ecosystem via pxGrid and Adaptive Network Control (ANC). When a threat is detected, ISE can automatically trigger a quarantine policy, isolating the compromised device in real-time without requiring manual intervention.</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ISE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2.  </w:t>
            </w:r>
            <w:r>
              <w:rPr>
                <w:rFonts w:ascii="Calibri" w:cs="Calibri" w:eastAsia="Calibri" w:hAnsi="Calibri"/>
                <w:i/>
                <w:iCs/>
                <w:color w:val="22344A"/>
                <w:sz w:val="20"/>
                <w:szCs w:val="20"/>
              </w:rPr>
              <w:t xml:space="preserve">Our firewall environment has become too complex to manage manually.</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Reduces manual policy review; identifies redundant/stale rules; lowers risk from human error.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Cisco Security Cloud Control, FMC, FTD (Unified Policy Administration) and explains how it addresses the concern: Cisco applies AI-driven analysis to firewall telemetry and policy data to surface optimization opportunities, reduce manual troubleshooting, and guide cleaner policy administration.</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Cisco Security Cloud Control, FMC, FTD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3.  </w:t>
            </w: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Restores visibility into encrypted blind spots; avoids the performance/privacy overhead of decrypt-everything strategies.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Cisco Secure Firewall (FTD), FMC, Security Cloud Control (EVE) and explains how it addresses the concern: Encrypted Visibility Engine (EVE) uses AI/ML-based fingerprinting to analyze encrypted traffic patterns and identify suspicious behavior without decrypting the payload.</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Cisco Secure Firewall (FTD), FMC, Security Cloud Control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4.  </w:t>
            </w: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Addresses the gap between known and unknown threat detection; reduces dependence on signature timing.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Cisco Secure Firewall (FTD), FMC, Security Cloud Control (Snort ML) and explains how it addresses the concern: That's exactly where Snort ML helps. It adds machine-learning-based detection inside the Snort 3 engine to identify exploit behavior associated with unknown/zero-day threats.</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Cisco Secure Firewall (FTD), FMC, Security Cloud Control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20"/>
        </w:tblBorders>
      </w:tblPr>
      <w:tblGrid>
        <w:gridCol w:w="4680"/>
        <w:gridCol w:w="4680"/>
      </w:tblGrid>
      <w:tr>
        <w:trPr>
          <w:trHeight w:val="2000" w:hRule="atLeast"/>
        </w:trPr>
        <w:tc>
          <w:tcPr>
            <w:tcW w:type="dxa" w:w="462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7A276" w:color="auto" w:val="clear"/>
              <w:spacing w:after="60" w:before="0"/>
            </w:pPr>
            <w:r>
              <w:rPr>
                <w:rFonts w:ascii="Calibri" w:cs="Calibri" w:eastAsia="Calibri" w:hAnsi="Calibri"/>
                <w:b/>
                <w:bCs/>
                <w:color w:val="FFFFFF"/>
                <w:sz w:val="19"/>
                <w:szCs w:val="19"/>
              </w:rPr>
              <w:t xml:space="preserve">  ✓  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2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E2891F" w:color="auto" w:val="clear"/>
              <w:spacing w:after="60" w:before="0"/>
            </w:pPr>
            <w:r>
              <w:rPr>
                <w:rFonts w:ascii="Calibri" w:cs="Calibri" w:eastAsia="Calibri" w:hAnsi="Calibri"/>
                <w:b/>
                <w:bCs/>
                <w:color w:val="FFFFFF"/>
                <w:sz w:val="19"/>
                <w:szCs w:val="19"/>
              </w:rPr>
              <w:t xml:space="preserve">  →  Where they can improve</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274D" w:color="auto" w:val="clear"/>
            <w:tcMar>
              <w:top w:type="dxa" w:w="120"/>
              <w:left w:type="dxa" w:w="160"/>
              <w:bottom w:type="dxa" w:w="120"/>
              <w:right w:type="dxa" w:w="160"/>
            </w:tcMar>
          </w:tcPr>
          <w:p>
            <w:pPr>
              <w:spacing w:after="0"/>
            </w:pPr>
            <w:r>
              <w:rPr>
                <w:rFonts w:ascii="Calibri" w:cs="Calibri" w:eastAsia="Calibri" w:hAnsi="Calibri"/>
                <w:b/>
                <w:bCs/>
                <w:color w:val="FFFFFF"/>
                <w:sz w:val="21"/>
                <w:szCs w:val="21"/>
              </w:rPr>
              <w:t xml:space="preserve">Case Study 3 total  ______ / 100        Level:  </w:t>
            </w:r>
            <w:r>
              <w:rPr>
                <w:rFonts w:ascii="Calibri" w:cs="Calibri" w:eastAsia="Calibri" w:hAnsi="Calibri"/>
                <w:color w:val="C7D6E8"/>
                <w:sz w:val="19"/>
                <w:szCs w:val="19"/>
              </w:rPr>
              <w:t xml:space="preserve">▢ Associate   ▢ Professional   ▢ Expert   ▢ Developing</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Case Study 4 · grading</w:t>
      </w:r>
    </w:p>
    <w:p>
      <w:pPr>
        <w:spacing w:after="60" w:before="0" w:line="276"/>
      </w:pPr>
      <w:r>
        <w:rPr>
          <w:rFonts w:ascii="Calibri" w:cs="Calibri" w:eastAsia="Calibri" w:hAnsi="Calibri"/>
          <w:b/>
          <w:bCs/>
          <w:color w:val="0D274D"/>
          <w:sz w:val="42"/>
          <w:szCs w:val="42"/>
        </w:rPr>
        <w:t xml:space="preserve">Macro &amp; Micro Segmentation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Expected answers by level for each pain point.  </w:t>
            </w:r>
            <w:r>
              <w:rPr>
                <w:rFonts w:ascii="Calibri" w:cs="Calibri" w:eastAsia="Calibri" w:hAnsi="Calibri"/>
                <w:color w:val="33465F"/>
                <w:sz w:val="20"/>
                <w:szCs w:val="20"/>
              </w:rPr>
              <w:t xml:space="preserve">Use these as the yardstick — built from the solution guide. Score each pain point /25, then complete the feedback and total at the end.</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1.  </w:t>
            </w: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Adds runtime visibility beyond basic network controls Detects suspicious system and network behavior in real time Strengthens Kubernetes security with deeper workload-level insight.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Isovalent (Tetragon Runtime Security) and explains how it addresses the concern: That's where Tetragon comes in. Tetragon extends the value of Cilium by providing eBPF-based runtime security and threat detection.</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Isovalent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2.  </w:t>
            </w: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Replaces brittle, IP-centric networking models with a Kubernetes-native approach Improves consistency across dynamic cluster environments Reduces operational complexity with a more unified networking and policy layer.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 (Cilium Networking Policies) and explains how it addresses the concern: That's exactly where Isovalent Cilium helps. Cilium provides a modern, eBPF-based Kubernetes networking layer that gives you consistent connectivity, policy enforcement, and visibility across clusters and environments.</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3.  </w:t>
            </w: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Consolidates multiple functions into one platform approach Reduces tool sprawl and operational friction Improves context sharing between networking, security, and operations teams.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cilium and tetragon and explains how it addresses the concern: That's exactly the consolidation opportunity Isovalent addresses. With Cilium for networking and policy, and Tetragon for runtime security, you get a more unified platform for connectivity, segmentation, observability, and security.</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cilium and tetragon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b/>
                <w:bCs/>
                <w:color w:val="0D274D"/>
                <w:sz w:val="20"/>
                <w:szCs w:val="20"/>
              </w:rPr>
              <w:t xml:space="preserve">Pain Point 4.  </w:t>
            </w: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6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7860"/>
      </w:tblGrid>
      <w:tr>
        <w:tc>
          <w:tcPr>
            <w:tcW w:type="dxa" w:w="1500"/>
            <w:tcBorders>
              <w:top w:val="single" w:color="E4EBF3" w:sz="4"/>
              <w:left w:val="single" w:color="27A276"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1F8A63"/>
                <w:sz w:val="19"/>
                <w:szCs w:val="19"/>
              </w:rPr>
              <w:t xml:space="preserve">Expert</w:t>
            </w:r>
          </w:p>
          <w:p>
            <w:pPr>
              <w:spacing w:after="0" w:before="0" w:line="276"/>
            </w:pPr>
            <w:r>
              <w:rPr>
                <w:rFonts w:ascii="Calibri" w:cs="Calibri" w:eastAsia="Calibri" w:hAnsi="Calibri"/>
                <w:color w:val="7E8CA1"/>
                <w:sz w:val="14"/>
                <w:szCs w:val="14"/>
              </w:rPr>
              <w:t xml:space="preserve">21–25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Everything at Professional, plus reasoning tied to Cedarline's constraints and the stated outcome — Reveals actual application communication paths Reduces the risk of segmentation causing outages Enables more precise policy design and staged enforcement. Positions it within the wider Hybrid Mesh Firewall design.</w:t>
            </w:r>
          </w:p>
        </w:tc>
      </w:tr>
      <w:tr>
        <w:tc>
          <w:tcPr>
            <w:tcW w:type="dxa" w:w="1500"/>
            <w:tcBorders>
              <w:top w:val="single" w:color="E4EBF3" w:sz="4"/>
              <w:left w:val="single" w:color="00BCEB"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036C8F"/>
                <w:sz w:val="19"/>
                <w:szCs w:val="19"/>
              </w:rPr>
              <w:t xml:space="preserve">Professional</w:t>
            </w:r>
          </w:p>
          <w:p>
            <w:pPr>
              <w:spacing w:after="0" w:before="0" w:line="276"/>
            </w:pPr>
            <w:r>
              <w:rPr>
                <w:rFonts w:ascii="Calibri" w:cs="Calibri" w:eastAsia="Calibri" w:hAnsi="Calibri"/>
                <w:color w:val="7E8CA1"/>
                <w:sz w:val="14"/>
                <w:szCs w:val="14"/>
              </w:rPr>
              <w:t xml:space="preserve">14–20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Cisco Secure Workload Cisco Secure Firewall (Application dependency mapping) and explains how it addresses the concern: That's one of the biggest reasons customers adopt Cisco Secure Workload. It gives you deep visibility into workload communication and application dependency mapping, so you can see how applications actually behave before enforcing policy.</w:t>
            </w:r>
          </w:p>
        </w:tc>
      </w:tr>
      <w:tr>
        <w:tc>
          <w:tcPr>
            <w:tcW w:type="dxa" w:w="1500"/>
            <w:tcBorders>
              <w:top w:val="single" w:color="E4EBF3" w:sz="4"/>
              <w:left w:val="single" w:color="E2891F"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B4711A"/>
                <w:sz w:val="19"/>
                <w:szCs w:val="19"/>
              </w:rPr>
              <w:t xml:space="preserve">Associate</w:t>
            </w:r>
          </w:p>
          <w:p>
            <w:pPr>
              <w:spacing w:after="0" w:before="0" w:line="276"/>
            </w:pPr>
            <w:r>
              <w:rPr>
                <w:rFonts w:ascii="Calibri" w:cs="Calibri" w:eastAsia="Calibri" w:hAnsi="Calibri"/>
                <w:color w:val="7E8CA1"/>
                <w:sz w:val="14"/>
                <w:szCs w:val="14"/>
              </w:rPr>
              <w:t xml:space="preserve">6–13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Names Cisco Secure Workload Cisco Secure Firewall as relevant, but the response is generic — the product is stated without explaining how it addresses this specific concern.</w:t>
            </w:r>
          </w:p>
        </w:tc>
      </w:tr>
      <w:tr>
        <w:tc>
          <w:tcPr>
            <w:tcW w:type="dxa" w:w="1500"/>
            <w:tcBorders>
              <w:top w:val="single" w:color="E4EBF3" w:sz="4"/>
              <w:left w:val="single" w:color="B9C4D2" w:sz="48"/>
              <w:bottom w:val="none" w:color="FFFFFF" w:sz="0"/>
              <w:right w:val="none" w:color="FFFFFF" w:sz="0"/>
            </w:tcBorders>
            <w:tcMar>
              <w:top w:type="dxa" w:w="80"/>
              <w:left w:type="dxa" w:w="140"/>
              <w:bottom w:type="dxa" w:w="80"/>
              <w:right w:type="dxa" w:w="100"/>
            </w:tcMar>
          </w:tcPr>
          <w:p>
            <w:pPr>
              <w:spacing w:after="8" w:before="0" w:line="276"/>
            </w:pPr>
            <w:r>
              <w:rPr>
                <w:rFonts w:ascii="Calibri" w:cs="Calibri" w:eastAsia="Calibri" w:hAnsi="Calibri"/>
                <w:b/>
                <w:bCs/>
                <w:color w:val="7E8CA1"/>
                <w:sz w:val="19"/>
                <w:szCs w:val="19"/>
              </w:rPr>
              <w:t xml:space="preserve">Not yet</w:t>
            </w:r>
          </w:p>
          <w:p>
            <w:pPr>
              <w:spacing w:after="0" w:before="0" w:line="276"/>
            </w:pPr>
            <w:r>
              <w:rPr>
                <w:rFonts w:ascii="Calibri" w:cs="Calibri" w:eastAsia="Calibri" w:hAnsi="Calibri"/>
                <w:color w:val="7E8CA1"/>
                <w:sz w:val="14"/>
                <w:szCs w:val="14"/>
              </w:rPr>
              <w:t xml:space="preserve">0–5 pts</w:t>
            </w:r>
          </w:p>
        </w:tc>
        <w:tc>
          <w:tcPr>
            <w:tcW w:type="dxa" w:w="78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Blank, off-topic, or a wrong product with no reasoning.</w:t>
            </w:r>
          </w:p>
        </w:tc>
      </w:tr>
    </w:tbl>
    <w:p>
      <w:pPr>
        <w:spacing w:after="5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0"/>
            </w:pPr>
            <w:r>
              <w:rPr>
                <w:rFonts w:ascii="Calibri" w:cs="Calibri" w:eastAsia="Calibri" w:hAnsi="Calibri"/>
                <w:b/>
                <w:bCs/>
                <w:color w:val="0D274D"/>
                <w:sz w:val="20"/>
                <w:szCs w:val="20"/>
              </w:rPr>
              <w:t xml:space="preserve">Score </w:t>
            </w:r>
            <w:r>
              <w:rPr>
                <w:rFonts w:ascii="Calibri" w:cs="Calibri" w:eastAsia="Calibri" w:hAnsi="Calibri"/>
                <w:color w:val="8091A4"/>
                <w:sz w:val="20"/>
                <w:szCs w:val="20"/>
              </w:rPr>
              <w:t xml:space="preserve">______</w:t>
            </w:r>
            <w:r>
              <w:rPr>
                <w:rFonts w:ascii="Calibri" w:cs="Calibri" w:eastAsia="Calibri" w:hAnsi="Calibri"/>
                <w:color w:val="3A4C63"/>
                <w:sz w:val="20"/>
                <w:szCs w:val="20"/>
              </w:rPr>
              <w:t xml:space="preserve"> / 25    ·    Level:  </w:t>
            </w:r>
            <w:r>
              <w:rPr>
                <w:rFonts w:ascii="Calibri" w:cs="Calibri" w:eastAsia="Calibri" w:hAnsi="Calibri"/>
                <w:color w:val="5A6E86"/>
                <w:sz w:val="20"/>
                <w:szCs w:val="20"/>
              </w:rPr>
              <w:t xml:space="preserve">▢ Associate    ▢ Professional    ▢ Expert</w:t>
            </w:r>
          </w:p>
        </w:tc>
      </w:tr>
    </w:tbl>
    <w:p>
      <w:pPr>
        <w:spacing w:after="160"/>
      </w:pPr>
      <w:r>
        <w:rPr>
          <w:rFonts w:ascii="Calibri" w:cs="Calibri" w:eastAsia="Calibri" w:hAnsi="Calibri"/>
          <w:color w:val="14263A"/>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single" w:color="FFFFFF" w:sz="20"/>
        </w:tblBorders>
      </w:tblPr>
      <w:tblGrid>
        <w:gridCol w:w="4680"/>
        <w:gridCol w:w="4680"/>
      </w:tblGrid>
      <w:tr>
        <w:trPr>
          <w:trHeight w:val="2000" w:hRule="atLeast"/>
        </w:trPr>
        <w:tc>
          <w:tcPr>
            <w:tcW w:type="dxa" w:w="462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7A276" w:color="auto" w:val="clear"/>
              <w:spacing w:after="60" w:before="0"/>
            </w:pPr>
            <w:r>
              <w:rPr>
                <w:rFonts w:ascii="Calibri" w:cs="Calibri" w:eastAsia="Calibri" w:hAnsi="Calibri"/>
                <w:b/>
                <w:bCs/>
                <w:color w:val="FFFFFF"/>
                <w:sz w:val="19"/>
                <w:szCs w:val="19"/>
              </w:rPr>
              <w:t xml:space="preserve">  ✓  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2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E2891F" w:color="auto" w:val="clear"/>
              <w:spacing w:after="60" w:before="0"/>
            </w:pPr>
            <w:r>
              <w:rPr>
                <w:rFonts w:ascii="Calibri" w:cs="Calibri" w:eastAsia="Calibri" w:hAnsi="Calibri"/>
                <w:b/>
                <w:bCs/>
                <w:color w:val="FFFFFF"/>
                <w:sz w:val="19"/>
                <w:szCs w:val="19"/>
              </w:rPr>
              <w:t xml:space="preserve">  →  Where they can improve</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274D" w:color="auto" w:val="clear"/>
            <w:tcMar>
              <w:top w:type="dxa" w:w="120"/>
              <w:left w:type="dxa" w:w="160"/>
              <w:bottom w:type="dxa" w:w="120"/>
              <w:right w:type="dxa" w:w="160"/>
            </w:tcMar>
          </w:tcPr>
          <w:p>
            <w:pPr>
              <w:spacing w:after="0"/>
            </w:pPr>
            <w:r>
              <w:rPr>
                <w:rFonts w:ascii="Calibri" w:cs="Calibri" w:eastAsia="Calibri" w:hAnsi="Calibri"/>
                <w:b/>
                <w:bCs/>
                <w:color w:val="FFFFFF"/>
                <w:sz w:val="21"/>
                <w:szCs w:val="21"/>
              </w:rPr>
              <w:t xml:space="preserve">Case Study 4 total  ______ / 100        Level:  </w:t>
            </w:r>
            <w:r>
              <w:rPr>
                <w:rFonts w:ascii="Calibri" w:cs="Calibri" w:eastAsia="Calibri" w:hAnsi="Calibri"/>
                <w:color w:val="C7D6E8"/>
                <w:sz w:val="19"/>
                <w:szCs w:val="19"/>
              </w:rPr>
              <w:t xml:space="preserve">▢ Associate   ▢ Professional   ▢ Expert   ▢ Developing</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Score summary</w:t>
      </w:r>
    </w:p>
    <w:p>
      <w:pPr>
        <w:pBdr>
          <w:bottom w:val="single" w:color="00BCEB" w:sz="18"/>
        </w:pBdr>
        <w:spacing w:after="120"/>
      </w:pPr>
      <w:r>
        <w:rPr>
          <w:rFonts w:ascii="Calibri" w:cs="Calibri" w:eastAsia="Calibri" w:hAnsi="Calibri"/>
          <w:color w:val="14263A"/>
          <w:sz w:val="2"/>
          <w:szCs w:val="2"/>
        </w:rPr>
        <w:t xml:space="preserve"/>
      </w:r>
    </w:p>
    <w:p>
      <w:pPr>
        <w:spacing w:after="80" w:before="160" w:line="276"/>
      </w:pPr>
      <w:r>
        <w:rPr>
          <w:rFonts w:ascii="Calibri" w:cs="Calibri" w:eastAsia="Calibri" w:hAnsi="Calibri"/>
          <w:b/>
          <w:bCs/>
          <w:color w:val="0D274D"/>
          <w:sz w:val="30"/>
          <w:szCs w:val="30"/>
        </w:rPr>
        <w:t xml:space="preserve">Team result</w:t>
      </w:r>
    </w:p>
    <w:p>
      <w:pPr>
        <w:spacing w:after="14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________________________     </w:t>
      </w:r>
      <w:r>
        <w:rPr>
          <w:rFonts w:ascii="Calibri" w:cs="Calibri" w:eastAsia="Calibri" w:hAnsi="Calibri"/>
          <w:b/>
          <w:bCs/>
          <w:color w:val="0D274D"/>
          <w:sz w:val="21"/>
          <w:szCs w:val="21"/>
        </w:rPr>
        <w:t xml:space="preserve">Event  </w:t>
      </w:r>
      <w:r>
        <w:rPr>
          <w:rFonts w:ascii="Calibri" w:cs="Calibri" w:eastAsia="Calibri" w:hAnsi="Calibri"/>
          <w:color w:val="8091A4"/>
          <w:sz w:val="21"/>
          <w:szCs w:val="21"/>
        </w:rPr>
        <w:t xml:space="preserve">____________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5960"/>
        <w:gridCol w:w="1400"/>
        <w:gridCol w:w="2000"/>
      </w:tblGrid>
      <w:tr>
        <w:trPr>
          <w:tblHeader/>
        </w:trPr>
        <w:tc>
          <w:tcPr>
            <w:tcW w:type="dxa" w:w="596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120"/>
            </w:tcMar>
          </w:tcPr>
          <w:p>
            <w:pPr>
              <w:spacing w:after="0" w:before="0" w:line="276"/>
            </w:pPr>
            <w:r>
              <w:rPr>
                <w:rFonts w:ascii="Calibri" w:cs="Calibri" w:eastAsia="Calibri" w:hAnsi="Calibri"/>
                <w:b/>
                <w:bCs/>
                <w:caps/>
                <w:color w:val="FFFFFF"/>
                <w:sz w:val="15"/>
                <w:szCs w:val="15"/>
              </w:rPr>
              <w:t xml:space="preserve">Case Study</w:t>
            </w:r>
          </w:p>
        </w:tc>
        <w:tc>
          <w:tcPr>
            <w:tcW w:type="dxa" w:w="140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120"/>
            </w:tcMar>
          </w:tcPr>
          <w:p>
            <w:pPr>
              <w:spacing w:after="0" w:before="0" w:line="276"/>
            </w:pPr>
            <w:r>
              <w:rPr>
                <w:rFonts w:ascii="Calibri" w:cs="Calibri" w:eastAsia="Calibri" w:hAnsi="Calibri"/>
                <w:b/>
                <w:bCs/>
                <w:caps/>
                <w:color w:val="FFFFFF"/>
                <w:sz w:val="15"/>
                <w:szCs w:val="15"/>
              </w:rPr>
              <w:t xml:space="preserve">Score / 100</w:t>
            </w:r>
          </w:p>
        </w:tc>
        <w:tc>
          <w:tcPr>
            <w:tcW w:type="dxa" w:w="200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120"/>
            </w:tcMar>
          </w:tcPr>
          <w:p>
            <w:pPr>
              <w:spacing w:after="0" w:before="0" w:line="276"/>
            </w:pPr>
            <w:r>
              <w:rPr>
                <w:rFonts w:ascii="Calibri" w:cs="Calibri" w:eastAsia="Calibri" w:hAnsi="Calibri"/>
                <w:b/>
                <w:bCs/>
                <w:caps/>
                <w:color w:val="FFFFFF"/>
                <w:sz w:val="15"/>
                <w:szCs w:val="15"/>
              </w:rPr>
              <w:t xml:space="preserve">Level</w:t>
            </w:r>
          </w:p>
        </w:tc>
      </w:tr>
      <w:tr>
        <w:tc>
          <w:tcPr>
            <w:tcW w:type="dxa" w:w="5960"/>
            <w:tcBorders>
              <w:top w:val="single" w:color="E4EBF3" w:sz="4"/>
              <w:left w:val="none" w:color="FFFFFF" w:sz="0"/>
              <w:bottom w:val="none" w:color="FFFFFF" w:sz="0"/>
              <w:right w:val="none" w:color="FFFFFF" w:sz="0"/>
            </w:tcBorders>
            <w:tcMar>
              <w:top w:type="dxa" w:w="100"/>
              <w:left w:type="dxa" w:w="150"/>
              <w:bottom w:type="dxa" w:w="100"/>
              <w:right w:type="dxa" w:w="120"/>
            </w:tcMar>
          </w:tcPr>
          <w:p>
            <w:pPr>
              <w:spacing w:after="0" w:before="0" w:line="276"/>
            </w:pPr>
            <w:r>
              <w:rPr>
                <w:rFonts w:ascii="Calibri" w:cs="Calibri" w:eastAsia="Calibri" w:hAnsi="Calibri"/>
                <w:b/>
                <w:bCs/>
                <w:color w:val="0D274D"/>
                <w:sz w:val="20"/>
                <w:szCs w:val="20"/>
              </w:rPr>
              <w:t xml:space="preserve">1.  </w:t>
            </w:r>
            <w:r>
              <w:rPr>
                <w:rFonts w:ascii="Calibri" w:cs="Calibri" w:eastAsia="Calibri" w:hAnsi="Calibri"/>
                <w:color w:val="2A3C52"/>
                <w:sz w:val="20"/>
                <w:szCs w:val="20"/>
              </w:rPr>
              <w:t xml:space="preserve">AI Security</w:t>
            </w:r>
          </w:p>
        </w:tc>
        <w:tc>
          <w:tcPr>
            <w:tcW w:type="dxa" w:w="1400"/>
            <w:tcBorders>
              <w:top w:val="single" w:color="E4EBF3" w:sz="4"/>
              <w:left w:val="none" w:color="FFFFFF" w:sz="0"/>
              <w:bottom w:val="none" w:color="FFFFFF" w:sz="0"/>
              <w:right w:val="none" w:color="FFFFFF" w:sz="0"/>
            </w:tcBorders>
            <w:tcMar>
              <w:top w:type="dxa" w:w="100"/>
              <w:left w:type="dxa" w:w="120"/>
              <w:bottom w:type="dxa" w:w="100"/>
              <w:right w:type="dxa" w:w="120"/>
            </w:tcMar>
          </w:tcPr>
          <w:p>
            <w:pPr>
              <w:spacing w:after="0" w:before="0" w:line="276"/>
            </w:pPr>
            <w:r>
              <w:rPr>
                <w:rFonts w:ascii="Calibri" w:cs="Calibri" w:eastAsia="Calibri" w:hAnsi="Calibri"/>
                <w:color w:val="8091A4"/>
                <w:sz w:val="20"/>
                <w:szCs w:val="20"/>
              </w:rPr>
              <w:t xml:space="preserve">_______</w:t>
            </w:r>
          </w:p>
        </w:tc>
        <w:tc>
          <w:tcPr>
            <w:tcW w:type="dxa" w:w="2000"/>
            <w:tcBorders>
              <w:top w:val="single" w:color="E4EBF3" w:sz="4"/>
              <w:left w:val="none" w:color="FFFFFF" w:sz="0"/>
              <w:bottom w:val="none" w:color="FFFFFF" w:sz="0"/>
              <w:right w:val="none" w:color="FFFFFF" w:sz="0"/>
            </w:tcBorders>
            <w:tcMar>
              <w:top w:type="dxa" w:w="100"/>
              <w:left w:type="dxa" w:w="120"/>
              <w:bottom w:type="dxa" w:w="100"/>
              <w:right w:type="dxa" w:w="140"/>
            </w:tcMar>
          </w:tcPr>
          <w:p>
            <w:pPr>
              <w:spacing w:after="0" w:before="0" w:line="276"/>
            </w:pPr>
            <w:r>
              <w:rPr>
                <w:rFonts w:ascii="Calibri" w:cs="Calibri" w:eastAsia="Calibri" w:hAnsi="Calibri"/>
                <w:color w:val="5A6E86"/>
                <w:sz w:val="19"/>
                <w:szCs w:val="19"/>
              </w:rPr>
              <w:t xml:space="preserve">▢ A   ▢ P   ▢ E</w:t>
            </w:r>
          </w:p>
        </w:tc>
      </w:tr>
      <w:tr>
        <w:tc>
          <w:tcPr>
            <w:tcW w:type="dxa" w:w="5960"/>
            <w:tcBorders>
              <w:top w:val="single" w:color="E4EBF3" w:sz="4"/>
              <w:left w:val="none" w:color="FFFFFF" w:sz="0"/>
              <w:bottom w:val="none" w:color="FFFFFF" w:sz="0"/>
              <w:right w:val="none" w:color="FFFFFF" w:sz="0"/>
            </w:tcBorders>
            <w:tcMar>
              <w:top w:type="dxa" w:w="100"/>
              <w:left w:type="dxa" w:w="150"/>
              <w:bottom w:type="dxa" w:w="100"/>
              <w:right w:type="dxa" w:w="120"/>
            </w:tcMar>
          </w:tcPr>
          <w:p>
            <w:pPr>
              <w:spacing w:after="0" w:before="0" w:line="276"/>
            </w:pPr>
            <w:r>
              <w:rPr>
                <w:rFonts w:ascii="Calibri" w:cs="Calibri" w:eastAsia="Calibri" w:hAnsi="Calibri"/>
                <w:b/>
                <w:bCs/>
                <w:color w:val="0D274D"/>
                <w:sz w:val="20"/>
                <w:szCs w:val="20"/>
              </w:rPr>
              <w:t xml:space="preserve">2.  </w:t>
            </w:r>
            <w:r>
              <w:rPr>
                <w:rFonts w:ascii="Calibri" w:cs="Calibri" w:eastAsia="Calibri" w:hAnsi="Calibri"/>
                <w:color w:val="2A3C52"/>
                <w:sz w:val="20"/>
                <w:szCs w:val="20"/>
              </w:rPr>
              <w:t xml:space="preserve">Cloud Edge</w:t>
            </w:r>
          </w:p>
        </w:tc>
        <w:tc>
          <w:tcPr>
            <w:tcW w:type="dxa" w:w="1400"/>
            <w:tcBorders>
              <w:top w:val="single" w:color="E4EBF3" w:sz="4"/>
              <w:left w:val="none" w:color="FFFFFF" w:sz="0"/>
              <w:bottom w:val="none" w:color="FFFFFF" w:sz="0"/>
              <w:right w:val="none" w:color="FFFFFF" w:sz="0"/>
            </w:tcBorders>
            <w:tcMar>
              <w:top w:type="dxa" w:w="100"/>
              <w:left w:type="dxa" w:w="120"/>
              <w:bottom w:type="dxa" w:w="100"/>
              <w:right w:type="dxa" w:w="120"/>
            </w:tcMar>
          </w:tcPr>
          <w:p>
            <w:pPr>
              <w:spacing w:after="0" w:before="0" w:line="276"/>
            </w:pPr>
            <w:r>
              <w:rPr>
                <w:rFonts w:ascii="Calibri" w:cs="Calibri" w:eastAsia="Calibri" w:hAnsi="Calibri"/>
                <w:color w:val="8091A4"/>
                <w:sz w:val="20"/>
                <w:szCs w:val="20"/>
              </w:rPr>
              <w:t xml:space="preserve">_______</w:t>
            </w:r>
          </w:p>
        </w:tc>
        <w:tc>
          <w:tcPr>
            <w:tcW w:type="dxa" w:w="2000"/>
            <w:tcBorders>
              <w:top w:val="single" w:color="E4EBF3" w:sz="4"/>
              <w:left w:val="none" w:color="FFFFFF" w:sz="0"/>
              <w:bottom w:val="none" w:color="FFFFFF" w:sz="0"/>
              <w:right w:val="none" w:color="FFFFFF" w:sz="0"/>
            </w:tcBorders>
            <w:tcMar>
              <w:top w:type="dxa" w:w="100"/>
              <w:left w:type="dxa" w:w="120"/>
              <w:bottom w:type="dxa" w:w="100"/>
              <w:right w:type="dxa" w:w="140"/>
            </w:tcMar>
          </w:tcPr>
          <w:p>
            <w:pPr>
              <w:spacing w:after="0" w:before="0" w:line="276"/>
            </w:pPr>
            <w:r>
              <w:rPr>
                <w:rFonts w:ascii="Calibri" w:cs="Calibri" w:eastAsia="Calibri" w:hAnsi="Calibri"/>
                <w:color w:val="5A6E86"/>
                <w:sz w:val="19"/>
                <w:szCs w:val="19"/>
              </w:rPr>
              <w:t xml:space="preserve">▢ A   ▢ P   ▢ E</w:t>
            </w:r>
          </w:p>
        </w:tc>
      </w:tr>
      <w:tr>
        <w:tc>
          <w:tcPr>
            <w:tcW w:type="dxa" w:w="5960"/>
            <w:tcBorders>
              <w:top w:val="single" w:color="E4EBF3" w:sz="4"/>
              <w:left w:val="none" w:color="FFFFFF" w:sz="0"/>
              <w:bottom w:val="none" w:color="FFFFFF" w:sz="0"/>
              <w:right w:val="none" w:color="FFFFFF" w:sz="0"/>
            </w:tcBorders>
            <w:tcMar>
              <w:top w:type="dxa" w:w="100"/>
              <w:left w:type="dxa" w:w="150"/>
              <w:bottom w:type="dxa" w:w="100"/>
              <w:right w:type="dxa" w:w="120"/>
            </w:tcMar>
          </w:tcPr>
          <w:p>
            <w:pPr>
              <w:spacing w:after="0" w:before="0" w:line="276"/>
            </w:pPr>
            <w:r>
              <w:rPr>
                <w:rFonts w:ascii="Calibri" w:cs="Calibri" w:eastAsia="Calibri" w:hAnsi="Calibri"/>
                <w:b/>
                <w:bCs/>
                <w:color w:val="0D274D"/>
                <w:sz w:val="20"/>
                <w:szCs w:val="20"/>
              </w:rPr>
              <w:t xml:space="preserve">3.  </w:t>
            </w:r>
            <w:r>
              <w:rPr>
                <w:rFonts w:ascii="Calibri" w:cs="Calibri" w:eastAsia="Calibri" w:hAnsi="Calibri"/>
                <w:color w:val="2A3C52"/>
                <w:sz w:val="20"/>
                <w:szCs w:val="20"/>
              </w:rPr>
              <w:t xml:space="preserve">DC Edge — Perimeter Firewall</w:t>
            </w:r>
          </w:p>
        </w:tc>
        <w:tc>
          <w:tcPr>
            <w:tcW w:type="dxa" w:w="1400"/>
            <w:tcBorders>
              <w:top w:val="single" w:color="E4EBF3" w:sz="4"/>
              <w:left w:val="none" w:color="FFFFFF" w:sz="0"/>
              <w:bottom w:val="none" w:color="FFFFFF" w:sz="0"/>
              <w:right w:val="none" w:color="FFFFFF" w:sz="0"/>
            </w:tcBorders>
            <w:tcMar>
              <w:top w:type="dxa" w:w="100"/>
              <w:left w:type="dxa" w:w="120"/>
              <w:bottom w:type="dxa" w:w="100"/>
              <w:right w:type="dxa" w:w="120"/>
            </w:tcMar>
          </w:tcPr>
          <w:p>
            <w:pPr>
              <w:spacing w:after="0" w:before="0" w:line="276"/>
            </w:pPr>
            <w:r>
              <w:rPr>
                <w:rFonts w:ascii="Calibri" w:cs="Calibri" w:eastAsia="Calibri" w:hAnsi="Calibri"/>
                <w:color w:val="8091A4"/>
                <w:sz w:val="20"/>
                <w:szCs w:val="20"/>
              </w:rPr>
              <w:t xml:space="preserve">_______</w:t>
            </w:r>
          </w:p>
        </w:tc>
        <w:tc>
          <w:tcPr>
            <w:tcW w:type="dxa" w:w="2000"/>
            <w:tcBorders>
              <w:top w:val="single" w:color="E4EBF3" w:sz="4"/>
              <w:left w:val="none" w:color="FFFFFF" w:sz="0"/>
              <w:bottom w:val="none" w:color="FFFFFF" w:sz="0"/>
              <w:right w:val="none" w:color="FFFFFF" w:sz="0"/>
            </w:tcBorders>
            <w:tcMar>
              <w:top w:type="dxa" w:w="100"/>
              <w:left w:type="dxa" w:w="120"/>
              <w:bottom w:type="dxa" w:w="100"/>
              <w:right w:type="dxa" w:w="140"/>
            </w:tcMar>
          </w:tcPr>
          <w:p>
            <w:pPr>
              <w:spacing w:after="0" w:before="0" w:line="276"/>
            </w:pPr>
            <w:r>
              <w:rPr>
                <w:rFonts w:ascii="Calibri" w:cs="Calibri" w:eastAsia="Calibri" w:hAnsi="Calibri"/>
                <w:color w:val="5A6E86"/>
                <w:sz w:val="19"/>
                <w:szCs w:val="19"/>
              </w:rPr>
              <w:t xml:space="preserve">▢ A   ▢ P   ▢ E</w:t>
            </w:r>
          </w:p>
        </w:tc>
      </w:tr>
      <w:tr>
        <w:tc>
          <w:tcPr>
            <w:tcW w:type="dxa" w:w="5960"/>
            <w:tcBorders>
              <w:top w:val="single" w:color="E4EBF3" w:sz="4"/>
              <w:left w:val="none" w:color="FFFFFF" w:sz="0"/>
              <w:bottom w:val="none" w:color="FFFFFF" w:sz="0"/>
              <w:right w:val="none" w:color="FFFFFF" w:sz="0"/>
            </w:tcBorders>
            <w:tcMar>
              <w:top w:type="dxa" w:w="100"/>
              <w:left w:type="dxa" w:w="150"/>
              <w:bottom w:type="dxa" w:w="100"/>
              <w:right w:type="dxa" w:w="120"/>
            </w:tcMar>
          </w:tcPr>
          <w:p>
            <w:pPr>
              <w:spacing w:after="0" w:before="0" w:line="276"/>
            </w:pPr>
            <w:r>
              <w:rPr>
                <w:rFonts w:ascii="Calibri" w:cs="Calibri" w:eastAsia="Calibri" w:hAnsi="Calibri"/>
                <w:b/>
                <w:bCs/>
                <w:color w:val="0D274D"/>
                <w:sz w:val="20"/>
                <w:szCs w:val="20"/>
              </w:rPr>
              <w:t xml:space="preserve">4.  </w:t>
            </w:r>
            <w:r>
              <w:rPr>
                <w:rFonts w:ascii="Calibri" w:cs="Calibri" w:eastAsia="Calibri" w:hAnsi="Calibri"/>
                <w:color w:val="2A3C52"/>
                <w:sz w:val="20"/>
                <w:szCs w:val="20"/>
              </w:rPr>
              <w:t xml:space="preserve">Macro &amp; Micro Segmentation</w:t>
            </w:r>
          </w:p>
        </w:tc>
        <w:tc>
          <w:tcPr>
            <w:tcW w:type="dxa" w:w="1400"/>
            <w:tcBorders>
              <w:top w:val="single" w:color="E4EBF3" w:sz="4"/>
              <w:left w:val="none" w:color="FFFFFF" w:sz="0"/>
              <w:bottom w:val="none" w:color="FFFFFF" w:sz="0"/>
              <w:right w:val="none" w:color="FFFFFF" w:sz="0"/>
            </w:tcBorders>
            <w:tcMar>
              <w:top w:type="dxa" w:w="100"/>
              <w:left w:type="dxa" w:w="120"/>
              <w:bottom w:type="dxa" w:w="100"/>
              <w:right w:type="dxa" w:w="120"/>
            </w:tcMar>
          </w:tcPr>
          <w:p>
            <w:pPr>
              <w:spacing w:after="0" w:before="0" w:line="276"/>
            </w:pPr>
            <w:r>
              <w:rPr>
                <w:rFonts w:ascii="Calibri" w:cs="Calibri" w:eastAsia="Calibri" w:hAnsi="Calibri"/>
                <w:color w:val="8091A4"/>
                <w:sz w:val="20"/>
                <w:szCs w:val="20"/>
              </w:rPr>
              <w:t xml:space="preserve">_______</w:t>
            </w:r>
          </w:p>
        </w:tc>
        <w:tc>
          <w:tcPr>
            <w:tcW w:type="dxa" w:w="2000"/>
            <w:tcBorders>
              <w:top w:val="single" w:color="E4EBF3" w:sz="4"/>
              <w:left w:val="none" w:color="FFFFFF" w:sz="0"/>
              <w:bottom w:val="none" w:color="FFFFFF" w:sz="0"/>
              <w:right w:val="none" w:color="FFFFFF" w:sz="0"/>
            </w:tcBorders>
            <w:tcMar>
              <w:top w:type="dxa" w:w="100"/>
              <w:left w:type="dxa" w:w="120"/>
              <w:bottom w:type="dxa" w:w="100"/>
              <w:right w:type="dxa" w:w="140"/>
            </w:tcMar>
          </w:tcPr>
          <w:p>
            <w:pPr>
              <w:spacing w:after="0" w:before="0" w:line="276"/>
            </w:pPr>
            <w:r>
              <w:rPr>
                <w:rFonts w:ascii="Calibri" w:cs="Calibri" w:eastAsia="Calibri" w:hAnsi="Calibri"/>
                <w:color w:val="5A6E86"/>
                <w:sz w:val="19"/>
                <w:szCs w:val="19"/>
              </w:rPr>
              <w:t xml:space="preserve">▢ A   ▢ P   ▢ E</w:t>
            </w:r>
          </w:p>
        </w:tc>
      </w:tr>
      <w:tr>
        <w:tc>
          <w:tcPr>
            <w:tcW w:type="dxa" w:w="5960"/>
            <w:tcBorders>
              <w:top w:val="single" w:color="C4D2E2" w:sz="6"/>
              <w:left w:val="none" w:color="FFFFFF" w:sz="0"/>
              <w:bottom w:val="none" w:color="FFFFFF" w:sz="0"/>
              <w:right w:val="none" w:color="FFFFFF" w:sz="0"/>
            </w:tcBorders>
            <w:shd w:fill="EAF1F8" w:color="auto" w:val="clear"/>
            <w:tcMar>
              <w:top w:type="dxa" w:w="100"/>
              <w:left w:type="dxa" w:w="150"/>
              <w:bottom w:type="dxa" w:w="100"/>
              <w:right w:type="dxa" w:w="120"/>
            </w:tcMar>
          </w:tcPr>
          <w:p>
            <w:pPr>
              <w:spacing w:after="0" w:before="0" w:line="276"/>
            </w:pPr>
            <w:r>
              <w:rPr>
                <w:rFonts w:ascii="Calibri" w:cs="Calibri" w:eastAsia="Calibri" w:hAnsi="Calibri"/>
                <w:b/>
                <w:bCs/>
                <w:color w:val="0D274D"/>
                <w:sz w:val="20"/>
                <w:szCs w:val="20"/>
              </w:rPr>
              <w:t xml:space="preserve">Overall total</w:t>
            </w:r>
          </w:p>
        </w:tc>
        <w:tc>
          <w:tcPr>
            <w:tcW w:type="dxa" w:w="1400"/>
            <w:tcBorders>
              <w:top w:val="single" w:color="C4D2E2" w:sz="6"/>
              <w:left w:val="none" w:color="FFFFFF" w:sz="0"/>
              <w:bottom w:val="none" w:color="FFFFFF" w:sz="0"/>
              <w:right w:val="none" w:color="FFFFFF" w:sz="0"/>
            </w:tcBorders>
            <w:shd w:fill="EAF1F8" w:color="auto" w:val="clear"/>
            <w:tcMar>
              <w:top w:type="dxa" w:w="100"/>
              <w:left w:type="dxa" w:w="120"/>
              <w:bottom w:type="dxa" w:w="100"/>
              <w:right w:type="dxa" w:w="120"/>
            </w:tcMar>
          </w:tcPr>
          <w:p>
            <w:pPr>
              <w:spacing w:after="0" w:before="0" w:line="276"/>
            </w:pPr>
            <w:r>
              <w:rPr>
                <w:rFonts w:ascii="Calibri" w:cs="Calibri" w:eastAsia="Calibri" w:hAnsi="Calibri"/>
                <w:b/>
                <w:bCs/>
                <w:color w:val="0D274D"/>
                <w:sz w:val="20"/>
                <w:szCs w:val="20"/>
              </w:rPr>
              <w:t xml:space="preserve">_____ / 400</w:t>
            </w:r>
          </w:p>
        </w:tc>
        <w:tc>
          <w:tcPr>
            <w:tcW w:type="dxa" w:w="2000"/>
            <w:tcBorders>
              <w:top w:val="single" w:color="C4D2E2" w:sz="6"/>
              <w:left w:val="none" w:color="FFFFFF" w:sz="0"/>
              <w:bottom w:val="none" w:color="FFFFFF" w:sz="0"/>
              <w:right w:val="none" w:color="FFFFFF" w:sz="0"/>
            </w:tcBorders>
            <w:shd w:fill="EAF1F8" w:color="auto" w:val="clear"/>
            <w:tcMar>
              <w:top w:type="dxa" w:w="100"/>
              <w:left w:type="dxa" w:w="120"/>
              <w:bottom w:type="dxa" w:w="100"/>
              <w:right w:type="dxa" w:w="140"/>
            </w:tcMar>
          </w:tcPr>
          <w:p>
            <w:pPr>
              <w:spacing w:after="0" w:before="0" w:line="276"/>
            </w:pPr>
            <w:r>
              <w:rPr>
                <w:rFonts w:ascii="Calibri" w:cs="Calibri" w:eastAsia="Calibri" w:hAnsi="Calibri"/>
                <w:b/>
                <w:bCs/>
                <w:color w:val="0D274D"/>
                <w:sz w:val="18"/>
                <w:szCs w:val="18"/>
              </w:rPr>
              <w:t xml:space="preserve">▢ A  ▢ P  ▢ E  ▢ Dev</w:t>
            </w:r>
          </w:p>
        </w:tc>
      </w:tr>
    </w:tbl>
    <w:p>
      <w:pPr>
        <w:spacing w:after="80" w:before="160" w:line="276"/>
      </w:pPr>
      <w:r>
        <w:rPr>
          <w:rFonts w:ascii="Calibri" w:cs="Calibri" w:eastAsia="Calibri" w:hAnsi="Calibri"/>
          <w:b/>
          <w:bCs/>
          <w:color w:val="0D274D"/>
          <w:sz w:val="30"/>
          <w:szCs w:val="30"/>
        </w:rPr>
        <w:t xml:space="preserve">Overall feedback</w:t>
      </w:r>
    </w:p>
    <w:tbl>
      <w:tblPr>
        <w:tblW w:type="dxa" w:w="9360"/>
        <w:tblBorders>
          <w:top w:val="none" w:color="FFFFFF" w:sz="0"/>
          <w:left w:val="none" w:color="FFFFFF" w:sz="0"/>
          <w:bottom w:val="none" w:color="FFFFFF" w:sz="0"/>
          <w:right w:val="none" w:color="FFFFFF" w:sz="0"/>
          <w:insideH w:val="none" w:color="FFFFFF" w:sz="0"/>
          <w:insideV w:val="single" w:color="FFFFFF" w:sz="20"/>
        </w:tblBorders>
      </w:tblPr>
      <w:tblGrid>
        <w:gridCol w:w="4680"/>
        <w:gridCol w:w="4680"/>
      </w:tblGrid>
      <w:tr>
        <w:trPr>
          <w:trHeight w:val="2600" w:hRule="atLeast"/>
        </w:trPr>
        <w:tc>
          <w:tcPr>
            <w:tcW w:type="dxa" w:w="462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27A276" w:color="auto" w:val="clear"/>
              <w:spacing w:after="60" w:before="0"/>
            </w:pPr>
            <w:r>
              <w:rPr>
                <w:rFonts w:ascii="Calibri" w:cs="Calibri" w:eastAsia="Calibri" w:hAnsi="Calibri"/>
                <w:b/>
                <w:bCs/>
                <w:color w:val="FFFFFF"/>
                <w:sz w:val="19"/>
                <w:szCs w:val="19"/>
              </w:rPr>
              <w:t xml:space="preserve">  ✓  Strengths across the clinic</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c>
          <w:tcPr>
            <w:tcW w:type="dxa" w:w="4620"/>
            <w:tcBorders>
              <w:top w:val="single" w:color="C4D2E2" w:sz="6"/>
              <w:left w:val="single" w:color="C4D2E2" w:sz="6"/>
              <w:bottom w:val="single" w:color="C4D2E2" w:sz="6"/>
              <w:right w:val="single" w:color="C4D2E2" w:sz="6"/>
            </w:tcBorders>
            <w:tcMar>
              <w:top w:type="dxa" w:w="0"/>
              <w:left w:type="dxa" w:w="0"/>
              <w:bottom w:type="dxa" w:w="0"/>
              <w:right w:type="dxa" w:w="0"/>
            </w:tcMar>
          </w:tcPr>
          <w:p>
            <w:pPr>
              <w:shd w:fill="E2891F" w:color="auto" w:val="clear"/>
              <w:spacing w:after="60" w:before="0"/>
            </w:pPr>
            <w:r>
              <w:rPr>
                <w:rFonts w:ascii="Calibri" w:cs="Calibri" w:eastAsia="Calibri" w:hAnsi="Calibri"/>
                <w:b/>
                <w:bCs/>
                <w:color w:val="FFFFFF"/>
                <w:sz w:val="19"/>
                <w:szCs w:val="19"/>
              </w:rPr>
              <w:t xml:space="preserve">  →  Priorities to develop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Overall level reminder.  </w:t>
            </w:r>
            <w:r>
              <w:rPr>
                <w:rFonts w:ascii="Calibri" w:cs="Calibri" w:eastAsia="Calibri" w:hAnsi="Calibri"/>
                <w:color w:val="33465F"/>
                <w:sz w:val="20"/>
                <w:szCs w:val="20"/>
              </w:rPr>
              <w:t xml:space="preserve">Expert 340–400 · Professional 260–339 · Associate 160–259 · Developing &lt;160. The level reflects the reasoning demonstrated, not just the product names chosen.</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2026-07-29T03:18:15.084Z</dcterms:created>
  <dcterms:modified xsi:type="dcterms:W3CDTF">2026-07-29T03:18:15.102Z</dcterms:modified>
</cp:coreProperties>
</file>

<file path=docProps/custom.xml><?xml version="1.0" encoding="utf-8"?>
<Properties xmlns="http://schemas.openxmlformats.org/officeDocument/2006/custom-properties" xmlns:vt="http://schemas.openxmlformats.org/officeDocument/2006/docPropsVTypes"/>
</file>