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Grading Guide</w:t>
      </w:r>
    </w:p>
    <w:p>
      <w:pPr>
        <w:spacing w:after="140" w:before="0" w:line="276"/>
      </w:pPr>
      <w:r>
        <w:rPr>
          <w:rFonts w:ascii="Calibri" w:cs="Calibri" w:eastAsia="Calibri" w:hAnsi="Calibri"/>
          <w:color w:val="3A4C63"/>
          <w:sz w:val="24"/>
          <w:szCs w:val="24"/>
        </w:rPr>
        <w:t xml:space="preserve">A case study score, an overall score, and qualitative feedback on three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it works.  </w:t>
            </w:r>
            <w:r>
              <w:rPr>
                <w:rFonts w:ascii="Calibri" w:cs="Calibri" w:eastAsia="Calibri" w:hAnsi="Calibri"/>
                <w:color w:val="33465F"/>
                <w:sz w:val="20"/>
                <w:szCs w:val="20"/>
              </w:rPr>
              <w:t xml:space="preserve">Score each case study across its four pain points, out of 100, for an overall total of 400. Alongside the score, assess each team on three dimensions and record qualitative feedback. Use the Solution Guide for the model answers.</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score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three dimensions</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it works.  </w:t>
            </w:r>
            <w:r>
              <w:rPr>
                <w:rFonts w:ascii="Calibri" w:cs="Calibri" w:eastAsia="Calibri" w:hAnsi="Calibri"/>
                <w:color w:val="33465F"/>
                <w:sz w:val="20"/>
                <w:szCs w:val="20"/>
              </w:rPr>
              <w:t xml:space="preserve">For each case study, read the team's four answers, assess them on the three dimensions using the scale below, and assign a case study score out of 100. Add the four case study scores for an overall score out of 400. Grade against the Solution Guide and reward reasoning specific to Cedarline.</w:t>
            </w:r>
          </w:p>
        </w:tc>
      </w:tr>
    </w:tbl>
    <w:p>
      <w:pPr>
        <w:spacing w:after="50" w:before="150" w:line="276"/>
      </w:pPr>
      <w:r>
        <w:rPr>
          <w:rFonts w:ascii="Calibri" w:cs="Calibri" w:eastAsia="Calibri" w:hAnsi="Calibri"/>
          <w:b/>
          <w:bCs/>
          <w:caps/>
          <w:color w:val="0D274D"/>
          <w:sz w:val="22"/>
          <w:szCs w:val="22"/>
        </w:rPr>
        <w:t xml:space="preserve">The assessment scale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900"/>
        <w:gridCol w:w="7460"/>
      </w:tblGrid>
      <w:tr>
        <w:tc>
          <w:tcPr>
            <w:tcW w:type="dxa" w:w="1900"/>
            <w:tcBorders>
              <w:top w:val="none" w:color="FFFFFF" w:sz="0"/>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Strong</w:t>
            </w:r>
          </w:p>
        </w:tc>
        <w:tc>
          <w:tcPr>
            <w:tcW w:type="dxa" w:w="74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Consistently meets the dimension across the case study, specific to Cedarline.</w:t>
            </w:r>
          </w:p>
        </w:tc>
      </w:tr>
      <w:tr>
        <w:tc>
          <w:tcPr>
            <w:tcW w:type="dxa" w:w="1900"/>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Developing</w:t>
            </w:r>
          </w:p>
        </w:tc>
        <w:tc>
          <w:tcPr>
            <w:tcW w:type="dxa" w:w="74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Solid, but with gaps or generic reasoning in places.</w:t>
            </w:r>
          </w:p>
        </w:tc>
      </w:tr>
      <w:tr>
        <w:tc>
          <w:tcPr>
            <w:tcW w:type="dxa" w:w="1900"/>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Emerging</w:t>
            </w:r>
          </w:p>
        </w:tc>
        <w:tc>
          <w:tcPr>
            <w:tcW w:type="dxa" w:w="74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Early. The idea is there but thin, partial, or unclear.</w:t>
            </w:r>
          </w:p>
        </w:tc>
      </w:tr>
    </w:tbl>
    <w:p>
      <w:pPr>
        <w:spacing w:after="50" w:before="150" w:line="276"/>
      </w:pPr>
      <w:r>
        <w:rPr>
          <w:rFonts w:ascii="Calibri" w:cs="Calibri" w:eastAsia="Calibri" w:hAnsi="Calibri"/>
          <w:b/>
          <w:bCs/>
          <w:caps/>
          <w:color w:val="0D274D"/>
          <w:sz w:val="22"/>
          <w:szCs w:val="22"/>
        </w:rPr>
        <w:t xml:space="preserve">From ratings to a score</w:t>
      </w:r>
    </w:p>
    <w:p>
      <w:pPr>
        <w:spacing w:after="80" w:before="0" w:line="276"/>
      </w:pPr>
      <w:r>
        <w:rPr>
          <w:rFonts w:ascii="Calibri" w:cs="Calibri" w:eastAsia="Calibri" w:hAnsi="Calibri"/>
          <w:color w:val="3A4C63"/>
          <w:sz w:val="20"/>
          <w:szCs w:val="20"/>
        </w:rPr>
        <w:t xml:space="preserve">Use the overall picture across the three dimensions to place the case study score in a range.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931"/>
        <w:gridCol w:w="5429"/>
      </w:tblGrid>
      <w:tr>
        <w:tc>
          <w:tcPr>
            <w:tcW w:type="dxa" w:w="3931"/>
            <w:tcBorders>
              <w:top w:val="none" w:color="FFFFFF" w:sz="0"/>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D274D"/>
                <w:sz w:val="19"/>
                <w:szCs w:val="19"/>
              </w:rPr>
              <w:t xml:space="preserve">Mostly Strong</w:t>
            </w:r>
          </w:p>
        </w:tc>
        <w:tc>
          <w:tcPr>
            <w:tcW w:type="dxa" w:w="5429"/>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85 to 100 / 100</w:t>
            </w:r>
          </w:p>
        </w:tc>
      </w:tr>
      <w:tr>
        <w:tc>
          <w:tcPr>
            <w:tcW w:type="dxa" w:w="3931"/>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D274D"/>
                <w:sz w:val="19"/>
                <w:szCs w:val="19"/>
              </w:rPr>
              <w:t xml:space="preserve">Mostly Developing</w:t>
            </w:r>
          </w:p>
        </w:tc>
        <w:tc>
          <w:tcPr>
            <w:tcW w:type="dxa" w:w="5429"/>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65 to 84 / 100</w:t>
            </w:r>
          </w:p>
        </w:tc>
      </w:tr>
      <w:tr>
        <w:tc>
          <w:tcPr>
            <w:tcW w:type="dxa" w:w="3931"/>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D274D"/>
                <w:sz w:val="19"/>
                <w:szCs w:val="19"/>
              </w:rPr>
              <w:t xml:space="preserve">Mostly Emerging</w:t>
            </w:r>
          </w:p>
        </w:tc>
        <w:tc>
          <w:tcPr>
            <w:tcW w:type="dxa" w:w="5429"/>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40 to 64 / 100</w:t>
            </w:r>
          </w:p>
        </w:tc>
      </w:tr>
      <w:tr>
        <w:tc>
          <w:tcPr>
            <w:tcW w:type="dxa" w:w="3931"/>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D274D"/>
                <w:sz w:val="19"/>
                <w:szCs w:val="19"/>
              </w:rPr>
              <w:t xml:space="preserve">Below Emerging</w:t>
            </w:r>
          </w:p>
        </w:tc>
        <w:tc>
          <w:tcPr>
            <w:tcW w:type="dxa" w:w="5429"/>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under 40 / 100</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evaluate the workbook</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Evaluating a team's submission</w:t>
      </w:r>
    </w:p>
    <w:p>
      <w:pPr>
        <w:spacing w:after="100" w:before="0" w:line="276"/>
      </w:pPr>
      <w:r>
        <w:rPr>
          <w:rFonts w:ascii="Calibri" w:cs="Calibri" w:eastAsia="Calibri" w:hAnsi="Calibri"/>
          <w:color w:val="3A4C63"/>
          <w:sz w:val="21"/>
          <w:szCs w:val="21"/>
        </w:rPr>
        <w:t xml:space="preserve">Each team submits a completed Workbook. Work through it one case study at a time using the broken-down expected answers on the pages that follow.</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Collect each team's Workbook and check that all four case studies have been attempted.</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Take one case study at a time. Read the team's four answers alongside the broken-down expected answers on this page.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For each pain point, compare the team's Product / platform and Solution Engineer response against the expected Problem, Solution and Value.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Assess the case study on the three dimensions using the Strong, Developing, Emerging scale.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5</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Use the ratings-to-score mapping to place the case study score out of 100, then write one line of strengths and coaching.</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6</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Add the four case study scores for the overall score out of 400, and pass the topology diagram to the SME for review.</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each dimension looks for.  </w:t>
            </w:r>
            <w:r>
              <w:rPr>
                <w:rFonts w:ascii="Calibri" w:cs="Calibri" w:eastAsia="Calibri" w:hAnsi="Calibri"/>
                <w:color w:val="33465F"/>
                <w:sz w:val="20"/>
                <w:szCs w:val="20"/>
              </w:rPr>
              <w:t xml:space="preserve">Problem Identifier: did the team name the real requirement behind the concern? Solution Designer: did they land on the right product and an approach that fits Cedarline? Value Communicator: did they explain how it works and the outcome? Compare against the expected answers, and reward reasoning specific to Cedarline.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Compare each team answer against the expected answer, then assess the case study.</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Provider-level evidence of robustness and cybersecurity under EU AI Act Article 15.</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AI Defense (AI Model and Application Validation)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Vetting AI models and third-party agents for vulnerabilities before they reach production.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AI Defense (Supply Chain Risk Management)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Visibility and consistent control over AI assets (models, agents, datasets and MCP tools) across the 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AI Defense (AI Cloud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Identifies rogue or unsanctioned AI assets. Maps relationships across data, models, agents, and tools.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Seeing AI assets and third-party model usage, and enforcing runtime guardrails on AI traffic without changing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AI Defense with Cisco Multicloud Defense (AI Runtime Protection)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Finds AI assets in cloud accounts. Identifies third-party AI model usage.</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Assess Case Study 1</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621"/>
        <w:gridCol w:w="3744"/>
        <w:gridCol w:w="2995"/>
      </w:tblGrid>
      <w:tr>
        <w:trPr>
          <w:tblHeader/>
        </w:trPr>
        <w:tc>
          <w:tcPr>
            <w:tcW w:type="dxa" w:w="2621"/>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Dimension</w:t>
            </w:r>
          </w:p>
        </w:tc>
        <w:tc>
          <w:tcPr>
            <w:tcW w:type="dxa" w:w="3744"/>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Assessment (circle one)</w:t>
            </w:r>
          </w:p>
        </w:tc>
        <w:tc>
          <w:tcPr>
            <w:tcW w:type="dxa" w:w="2995"/>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Notes</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4A3AA8"/>
                <w:sz w:val="18"/>
                <w:szCs w:val="18"/>
              </w:rPr>
              <w:t xml:space="preserve">Problem Identifier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0B6670"/>
                <w:sz w:val="18"/>
                <w:szCs w:val="18"/>
              </w:rPr>
              <w:t xml:space="preserve">Solution Designer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9A6516"/>
                <w:sz w:val="18"/>
                <w:szCs w:val="18"/>
              </w:rPr>
              <w:t xml:space="preserve">Value Communicator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1 score   </w:t>
            </w:r>
            <w:r>
              <w:rPr>
                <w:rFonts w:ascii="Calibri" w:cs="Calibri" w:eastAsia="Calibri" w:hAnsi="Calibri"/>
                <w:color w:val="8091A4"/>
                <w:sz w:val="22"/>
                <w:szCs w:val="22"/>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Compare each team answer against the expected answer, then assess the case study.</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Containing lateral movement between public cloud and on-prem in a multicloud environment.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Multicloud Defense (macro and micro-segmentation gateways)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Consistent, auditable proof that security controls are applied across all cloud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Multicloud Defense (unified logging and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One consistent policy model across AWS, Azure and on-prem, without per-cloud overhead.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Multicloud Defense (unified policy across public clouds)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Unified segmentation that prevents policy drift across hybrid and multicloud.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Secure Workload with Cisco Secure Firewall (managed via FMC and Security Cloud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policy drift across hybrid and multicloud environments. Aligns policy to application behavior, not just static IP-based rules.</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Assess Case Study 2</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621"/>
        <w:gridCol w:w="3744"/>
        <w:gridCol w:w="2995"/>
      </w:tblGrid>
      <w:tr>
        <w:trPr>
          <w:tblHeader/>
        </w:trPr>
        <w:tc>
          <w:tcPr>
            <w:tcW w:type="dxa" w:w="2621"/>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Dimension</w:t>
            </w:r>
          </w:p>
        </w:tc>
        <w:tc>
          <w:tcPr>
            <w:tcW w:type="dxa" w:w="3744"/>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Assessment (circle one)</w:t>
            </w:r>
          </w:p>
        </w:tc>
        <w:tc>
          <w:tcPr>
            <w:tcW w:type="dxa" w:w="2995"/>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Notes</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4A3AA8"/>
                <w:sz w:val="18"/>
                <w:szCs w:val="18"/>
              </w:rPr>
              <w:t xml:space="preserve">Problem Identifier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0B6670"/>
                <w:sz w:val="18"/>
                <w:szCs w:val="18"/>
              </w:rPr>
              <w:t xml:space="preserve">Solution Designer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9A6516"/>
                <w:sz w:val="18"/>
                <w:szCs w:val="18"/>
              </w:rPr>
              <w:t xml:space="preserve">Value Communicator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2 score   </w:t>
            </w:r>
            <w:r>
              <w:rPr>
                <w:rFonts w:ascii="Calibri" w:cs="Calibri" w:eastAsia="Calibri" w:hAnsi="Calibri"/>
                <w:color w:val="8091A4"/>
                <w:sz w:val="22"/>
                <w:szCs w:val="22"/>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Compare each team answer against the expected answer, then assess the case study.</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Automated, real-time isolation of a compromised device, faster than a manual response.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ISE (Security Group Tags via pxGrid and Adaptive Network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"Response" phase of the incident lifecycle. By bridging the gap between detection and enforcement, it stops threats at the speed of the network.</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Simplifying and cleaning up firewall policy administration at scale.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Security Cloud Control with FMC and Cisco Secure Firewall (unified policy administration)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manual policy review; identifies redundant/stale rules; lowers risk from human error.</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Restoring visibility into encrypted traffic without decrypting everything.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Secure Firewall with the Encrypted Visibility Engine (EVE)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Restores visibility into encrypted blind spots; avoids the performance/privacy overhead of decrypt-everything strategies.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Detecting unknown and zero-day threats beyond signature-based detection.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Secure Firewall with Snort ML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Addresses the gap between known and unknown threat detection; reduces dependence on signature timing.</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Assess Case Study 3</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621"/>
        <w:gridCol w:w="3744"/>
        <w:gridCol w:w="2995"/>
      </w:tblGrid>
      <w:tr>
        <w:trPr>
          <w:tblHeader/>
        </w:trPr>
        <w:tc>
          <w:tcPr>
            <w:tcW w:type="dxa" w:w="2621"/>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Dimension</w:t>
            </w:r>
          </w:p>
        </w:tc>
        <w:tc>
          <w:tcPr>
            <w:tcW w:type="dxa" w:w="3744"/>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Assessment (circle one)</w:t>
            </w:r>
          </w:p>
        </w:tc>
        <w:tc>
          <w:tcPr>
            <w:tcW w:type="dxa" w:w="2995"/>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Notes</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4A3AA8"/>
                <w:sz w:val="18"/>
                <w:szCs w:val="18"/>
              </w:rPr>
              <w:t xml:space="preserve">Problem Identifier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0B6670"/>
                <w:sz w:val="18"/>
                <w:szCs w:val="18"/>
              </w:rPr>
              <w:t xml:space="preserve">Solution Designer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9A6516"/>
                <w:sz w:val="18"/>
                <w:szCs w:val="18"/>
              </w:rPr>
              <w:t xml:space="preserve">Value Communicator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3 score   </w:t>
            </w:r>
            <w:r>
              <w:rPr>
                <w:rFonts w:ascii="Calibri" w:cs="Calibri" w:eastAsia="Calibri" w:hAnsi="Calibri"/>
                <w:color w:val="8091A4"/>
                <w:sz w:val="22"/>
                <w:szCs w:val="22"/>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Compare each team answer against the expected answer, then assess the case study.</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Runtime detection of suspicious behaviour and policy violations inside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Isovalent Tetragon (eBPF runtime security)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where Tetragon comes in. Tetragon extends the value of Cilium by providing eBPF-based runtime security and threat detection.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Adds runtime visibility beyond basic network controls. Detects suspicious system and network behavior in real time.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Consistent Kubernetes networking and policy across clusters, with less operational complexity.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Isovalent Cilium (eBPF Kubernetes networking and policy)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Replaces brittle, IP-centric networking models with a Kubernetes-native approach. Improves consistency across dynamic cluster environments.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Consolidating Kubernetes networking, security and observability to reduce tool sprawl.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Isovalent Cilium with Tetragon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Consolidates multiple functions into one platform approach. Reduces tool sprawl and operational friction.</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Mapping east-west flows and application dependencies to segment safely without breaking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Secure Workload (application dependency mapping)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Reveals actual application communication paths. Reduces the risk of segmentation causing outages.</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Assess Case Study 4</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621"/>
        <w:gridCol w:w="3744"/>
        <w:gridCol w:w="2995"/>
      </w:tblGrid>
      <w:tr>
        <w:trPr>
          <w:tblHeader/>
        </w:trPr>
        <w:tc>
          <w:tcPr>
            <w:tcW w:type="dxa" w:w="2621"/>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Dimension</w:t>
            </w:r>
          </w:p>
        </w:tc>
        <w:tc>
          <w:tcPr>
            <w:tcW w:type="dxa" w:w="3744"/>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Assessment (circle one)</w:t>
            </w:r>
          </w:p>
        </w:tc>
        <w:tc>
          <w:tcPr>
            <w:tcW w:type="dxa" w:w="2995"/>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Notes</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4A3AA8"/>
                <w:sz w:val="18"/>
                <w:szCs w:val="18"/>
              </w:rPr>
              <w:t xml:space="preserve">Problem Identifier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0B6670"/>
                <w:sz w:val="18"/>
                <w:szCs w:val="18"/>
              </w:rPr>
              <w:t xml:space="preserve">Solution Designer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9A6516"/>
                <w:sz w:val="18"/>
                <w:szCs w:val="18"/>
              </w:rPr>
              <w:t xml:space="preserve">Value Communicator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4 score   </w:t>
            </w:r>
            <w:r>
              <w:rPr>
                <w:rFonts w:ascii="Calibri" w:cs="Calibri" w:eastAsia="Calibri" w:hAnsi="Calibri"/>
                <w:color w:val="8091A4"/>
                <w:sz w:val="22"/>
                <w:szCs w:val="22"/>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Score summary</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Team total</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Event </w:t>
      </w:r>
      <w:r>
        <w:rPr>
          <w:rFonts w:ascii="Calibri" w:cs="Calibri" w:eastAsia="Calibri" w:hAnsi="Calibri"/>
          <w:color w:val="8091A4"/>
          <w:sz w:val="21"/>
          <w:szCs w:val="21"/>
        </w:rPr>
        <w:t xml:space="preserve">__________</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760"/>
        <w:gridCol w:w="2600"/>
      </w:tblGrid>
      <w:tr>
        <w:trPr>
          <w:tblHeader/>
        </w:trPr>
        <w:tc>
          <w:tcPr>
            <w:tcW w:type="dxa" w:w="6760"/>
            <w:tcBorders>
              <w:top w:val="none" w:color="FFFFFF" w:sz="0"/>
              <w:left w:val="none" w:color="FFFFFF" w:sz="0"/>
              <w:bottom w:val="none" w:color="FFFFFF" w:sz="0"/>
              <w:right w:val="none" w:color="FFFFFF" w:sz="0"/>
            </w:tcBorders>
            <w:shd w:fill="0D274D" w:color="auto" w:val="clear"/>
            <w:tcMar>
              <w:top w:type="dxa" w:w="80"/>
              <w:left w:type="dxa" w:w="150"/>
              <w:bottom w:type="dxa" w:w="80"/>
              <w:right w:type="dxa" w:w="150"/>
            </w:tcMar>
          </w:tcPr>
          <w:p>
            <w:pPr>
              <w:spacing w:after="0" w:before="0" w:line="276"/>
              <w:jc w:val="left"/>
            </w:pPr>
            <w:r>
              <w:rPr>
                <w:rFonts w:ascii="Calibri" w:cs="Calibri" w:eastAsia="Calibri" w:hAnsi="Calibri"/>
                <w:b/>
                <w:bCs/>
                <w:caps/>
                <w:color w:val="FFFFFF"/>
                <w:sz w:val="15"/>
                <w:szCs w:val="15"/>
              </w:rPr>
              <w:t xml:space="preserve">Case Study</w:t>
            </w:r>
          </w:p>
        </w:tc>
        <w:tc>
          <w:tcPr>
            <w:tcW w:type="dxa" w:w="2600"/>
            <w:tcBorders>
              <w:top w:val="none" w:color="FFFFFF" w:sz="0"/>
              <w:left w:val="none" w:color="FFFFFF" w:sz="0"/>
              <w:bottom w:val="none" w:color="FFFFFF" w:sz="0"/>
              <w:right w:val="none" w:color="FFFFFF" w:sz="0"/>
            </w:tcBorders>
            <w:shd w:fill="0D274D" w:color="auto" w:val="clear"/>
            <w:tcMar>
              <w:top w:type="dxa" w:w="80"/>
              <w:left w:type="dxa" w:w="150"/>
              <w:bottom w:type="dxa" w:w="80"/>
              <w:right w:type="dxa" w:w="150"/>
            </w:tcMar>
          </w:tcPr>
          <w:p>
            <w:pPr>
              <w:spacing w:after="0" w:before="0" w:line="276"/>
              <w:jc w:val="center"/>
            </w:pPr>
            <w:r>
              <w:rPr>
                <w:rFonts w:ascii="Calibri" w:cs="Calibri" w:eastAsia="Calibri" w:hAnsi="Calibri"/>
                <w:b/>
                <w:bCs/>
                <w:caps/>
                <w:color w:val="FFFFFF"/>
                <w:sz w:val="15"/>
                <w:szCs w:val="15"/>
              </w:rPr>
              <w:t xml:space="preserve">Score / 100</w:t>
            </w:r>
          </w:p>
        </w:tc>
      </w:tr>
      <w:tr>
        <w:tc>
          <w:tcPr>
            <w:tcW w:type="dxa" w:w="676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pPr>
            <w:r>
              <w:rPr>
                <w:rFonts w:ascii="Calibri" w:cs="Calibri" w:eastAsia="Calibri" w:hAnsi="Calibri"/>
                <w:color w:val="2A3C52"/>
                <w:sz w:val="20"/>
                <w:szCs w:val="20"/>
              </w:rPr>
              <w:t xml:space="preserve">Case Study 1</w:t>
            </w:r>
          </w:p>
        </w:tc>
        <w:tc>
          <w:tcPr>
            <w:tcW w:type="dxa" w:w="260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p>
        </w:tc>
      </w:tr>
      <w:tr>
        <w:tc>
          <w:tcPr>
            <w:tcW w:type="dxa" w:w="676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pPr>
            <w:r>
              <w:rPr>
                <w:rFonts w:ascii="Calibri" w:cs="Calibri" w:eastAsia="Calibri" w:hAnsi="Calibri"/>
                <w:color w:val="2A3C52"/>
                <w:sz w:val="20"/>
                <w:szCs w:val="20"/>
              </w:rPr>
              <w:t xml:space="preserve">Case Study 2</w:t>
            </w:r>
          </w:p>
        </w:tc>
        <w:tc>
          <w:tcPr>
            <w:tcW w:type="dxa" w:w="260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p>
        </w:tc>
      </w:tr>
      <w:tr>
        <w:tc>
          <w:tcPr>
            <w:tcW w:type="dxa" w:w="676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pPr>
            <w:r>
              <w:rPr>
                <w:rFonts w:ascii="Calibri" w:cs="Calibri" w:eastAsia="Calibri" w:hAnsi="Calibri"/>
                <w:color w:val="2A3C52"/>
                <w:sz w:val="20"/>
                <w:szCs w:val="20"/>
              </w:rPr>
              <w:t xml:space="preserve">Case Study 3</w:t>
            </w:r>
          </w:p>
        </w:tc>
        <w:tc>
          <w:tcPr>
            <w:tcW w:type="dxa" w:w="260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p>
        </w:tc>
      </w:tr>
      <w:tr>
        <w:tc>
          <w:tcPr>
            <w:tcW w:type="dxa" w:w="676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pPr>
            <w:r>
              <w:rPr>
                <w:rFonts w:ascii="Calibri" w:cs="Calibri" w:eastAsia="Calibri" w:hAnsi="Calibri"/>
                <w:color w:val="2A3C52"/>
                <w:sz w:val="20"/>
                <w:szCs w:val="20"/>
              </w:rPr>
              <w:t xml:space="preserve">Case Study 4</w:t>
            </w:r>
          </w:p>
        </w:tc>
        <w:tc>
          <w:tcPr>
            <w:tcW w:type="dxa" w:w="260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p>
        </w:tc>
      </w:tr>
      <w:tr>
        <w:tc>
          <w:tcPr>
            <w:tcW w:type="dxa" w:w="6760"/>
            <w:tcBorders>
              <w:top w:val="single" w:color="C4D2E2" w:sz="10"/>
              <w:left w:val="none" w:color="FFFFFF" w:sz="0"/>
              <w:bottom w:val="none" w:color="FFFFFF" w:sz="0"/>
              <w:right w:val="none" w:color="FFFFFF" w:sz="0"/>
            </w:tcBorders>
            <w:shd w:fill="EAF1F8" w:color="auto" w:val="clear"/>
            <w:tcMar>
              <w:top w:type="dxa" w:w="100"/>
              <w:left w:type="dxa" w:w="150"/>
              <w:bottom w:type="dxa" w:w="100"/>
              <w:right w:type="dxa" w:w="150"/>
            </w:tcMar>
          </w:tcPr>
          <w:p>
            <w:pPr>
              <w:spacing w:after="0" w:before="0" w:line="276"/>
            </w:pPr>
            <w:r>
              <w:rPr>
                <w:rFonts w:ascii="Calibri" w:cs="Calibri" w:eastAsia="Calibri" w:hAnsi="Calibri"/>
                <w:b/>
                <w:bCs/>
                <w:color w:val="0D274D"/>
                <w:sz w:val="20"/>
                <w:szCs w:val="20"/>
              </w:rPr>
              <w:t xml:space="preserve">Overall total</w:t>
            </w:r>
          </w:p>
        </w:tc>
        <w:tc>
          <w:tcPr>
            <w:tcW w:type="dxa" w:w="2600"/>
            <w:tcBorders>
              <w:top w:val="single" w:color="C4D2E2" w:sz="10"/>
              <w:left w:val="none" w:color="FFFFFF" w:sz="0"/>
              <w:bottom w:val="none" w:color="FFFFFF" w:sz="0"/>
              <w:right w:val="none" w:color="FFFFFF" w:sz="0"/>
            </w:tcBorders>
            <w:shd w:fill="EAF1F8" w:color="auto" w:val="clear"/>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r>
              <w:rPr>
                <w:rFonts w:ascii="Calibri" w:cs="Calibri" w:eastAsia="Calibri" w:hAnsi="Calibri"/>
                <w:b/>
                <w:bCs/>
                <w:color w:val="0D274D"/>
                <w:sz w:val="19"/>
                <w:szCs w:val="19"/>
              </w:rPr>
              <w:t xml:space="preserve"> / 400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9"/>
                <w:szCs w:val="19"/>
              </w:rPr>
              <w:t xml:space="preserve">Topology diagram: SME review.  </w:t>
            </w:r>
            <w:r>
              <w:rPr>
                <w:rFonts w:ascii="Calibri" w:cs="Calibri" w:eastAsia="Calibri" w:hAnsi="Calibri"/>
                <w:color w:val="33465F"/>
                <w:sz w:val="19"/>
                <w:szCs w:val="19"/>
              </w:rPr>
              <w:t xml:space="preserve">The team's Hybrid Mesh Firewall diagram is submitted for Subject Matter Expert review and is not part of the score.    Reviewed by SME:  Yes </w:t>
            </w:r>
            <w:r>
              <w:rPr>
                <w:rFonts w:ascii="Calibri" w:cs="Calibri" w:eastAsia="Calibri" w:hAnsi="Calibri"/>
                <w:color w:val="14263A"/>
                <w:sz w:val="20"/>
                <w:szCs w:val="20"/>
              </w:rPr>
              <w:t xml:space="preserve">☐</w:t>
            </w:r>
            <w:r>
              <w:rPr>
                <w:rFonts w:ascii="Calibri" w:cs="Calibri" w:eastAsia="Calibri" w:hAnsi="Calibri"/>
                <w:color w:val="33465F"/>
                <w:sz w:val="19"/>
                <w:szCs w:val="19"/>
              </w:rPr>
              <w:t xml:space="preserve">   No </w:t>
            </w:r>
            <w:r>
              <w:rPr>
                <w:rFonts w:ascii="Calibri" w:cs="Calibri" w:eastAsia="Calibri" w:hAnsi="Calibri"/>
                <w:color w:val="14263A"/>
                <w:sz w:val="20"/>
                <w:szCs w:val="20"/>
              </w:rPr>
              <w:t xml:space="preserve">☐</w:t>
            </w:r>
          </w:p>
          <w:p>
            <w:pPr>
              <w:spacing w:after="0" w:before="0" w:line="276"/>
            </w:pPr>
            <w:r>
              <w:rPr>
                <w:rFonts w:ascii="Calibri" w:cs="Calibri" w:eastAsia="Calibri" w:hAnsi="Calibri"/>
                <w:color w:val="14263A"/>
                <w:sz w:val="2"/>
                <w:szCs w:val="2"/>
              </w:rPr>
              <w:t xml:space="preserve"/>
            </w:r>
          </w:p>
        </w:tc>
      </w:tr>
    </w:tbl>
    <w:p>
      <w:pPr>
        <w:spacing w:after="80" w:before="180" w:line="276"/>
      </w:pPr>
      <w:r>
        <w:rPr>
          <w:rFonts w:ascii="Calibri" w:cs="Calibri" w:eastAsia="Calibri" w:hAnsi="Calibri"/>
          <w:b/>
          <w:bCs/>
          <w:color w:val="0D274D"/>
          <w:sz w:val="30"/>
          <w:szCs w:val="30"/>
        </w:rPr>
        <w:t xml:space="preserve">Overall qualitative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2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across the clinic</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2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Priorities to develop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2026-08-03T20:08:36.079Z</dcterms:created>
  <dcterms:modified xsi:type="dcterms:W3CDTF">2026-08-03T20:08:36.079Z</dcterms:modified>
</cp:coreProperties>
</file>

<file path=docProps/custom.xml><?xml version="1.0" encoding="utf-8"?>
<Properties xmlns="http://schemas.openxmlformats.org/officeDocument/2006/custom-properties" xmlns:vt="http://schemas.openxmlformats.org/officeDocument/2006/docPropsVTypes"/>
</file>