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and feature reference</w:t>
      </w:r>
    </w:p>
    <w:p>
      <w:pPr>
        <w:spacing w:after="100" w:before="0" w:line="276"/>
      </w:pPr>
      <w:r>
        <w:rPr>
          <w:rFonts w:ascii="Calibri" w:cs="Calibri" w:eastAsia="Calibri" w:hAnsi="Calibri"/>
          <w:color w:val="3A4C63"/>
          <w:sz w:val="21"/>
          <w:szCs w:val="21"/>
        </w:rPr>
        <w:t xml:space="preserve">The Cisco products, platforms and features available across the Hybrid Mesh Firewall. Use this list to identify which product, platform and feature fits each pain point. Which one fits which concern is for you to decide.</w:t>
      </w:r>
    </w:p>
    <w:p>
      <w:pPr>
        <w:spacing w:after="50" w:before="150" w:line="276"/>
      </w:pPr>
      <w:r>
        <w:rPr>
          <w:rFonts w:ascii="Calibri" w:cs="Calibri" w:eastAsia="Calibri" w:hAnsi="Calibri"/>
          <w:b/>
          <w:bCs/>
          <w:caps/>
          <w:color w:val="0D274D"/>
          <w:sz w:val="22"/>
          <w:szCs w:val="22"/>
        </w:rPr>
        <w:t xml:space="preserve">Platforms and products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Secures AI applications and models across build and runtime. It validates models and applications, scans the AI supply chain (models, repositories and MCP servers), discovers AI assets across the cloud, and applies runtime guardrails to prompt and response traffic.</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One security policy plane across public clouds. It provides consistent segmentation, egress control, traffic visibility and policy enforcement across AWS, Azure and GCP, and integrates with AI Defense for cloud runtime enforcement.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next-generation firewall, Firewall Threat Defense. It delivers perimeter and data-centre enforcement with intrusion prevention, application control and advanced threat detection.</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Management Center (FMC)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centralised manager for the Secure Firewall estate, handling policy, logging and reporting across firewalls.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firewall and security estate, for unified policy administration and rule cleanup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Application-dependency mapping and micro-segmentation. It reveals how workloads actually communicate, then drives safe segmentation policy before it is enforced.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Identity Services Engine (ISE)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Network identity and access control. It knows who and what is on the network and enables rapid, automated quarantine of compromised devices.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Hypershield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AI-native, highly distributed security enforcement. It provides autonomous, in-kernel (eBPF) segmentation and protection for workloads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 giving consistent connectivity and policy enforcement across clusters and environments.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for workloads, detecting suspicious system and network behaviour in real time.</w:t>
            </w:r>
          </w:p>
        </w:tc>
      </w:tr>
    </w:tbl>
    <w:p>
      <w:pPr>
        <w:spacing w:after="50" w:before="150" w:line="276"/>
      </w:pPr>
      <w:r>
        <w:rPr>
          <w:rFonts w:ascii="Calibri" w:cs="Calibri" w:eastAsia="Calibri" w:hAnsi="Calibri"/>
          <w:b/>
          <w:bCs/>
          <w:caps/>
          <w:color w:val="0D274D"/>
          <w:sz w:val="22"/>
          <w:szCs w:val="22"/>
        </w:rPr>
        <w:t xml:space="preserve">Key capabilities and features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Encrypted Visibility Engine (EVE)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infers threats from encrypted traffic patterns without decrypting the payload.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adds machine-learning detection inside the Snort 3 engine to catch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a context-sharing fabric so security tools can act on identity, for example triggering an automatic quarantine.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Adaptive Network Control (ANC)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that quarantines or restricts a device in real time when a threat is detected.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Security Group Tags (SGT)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Group-based policy tags (Cisco TrustSec) that enable scalable, identity-aware segmentation.</w:t>
            </w:r>
          </w:p>
        </w:tc>
      </w:tr>
    </w:tbl>
    <w:p>
      <w:pPr>
        <w:spacing w:after="50" w:before="150" w:line="276"/>
      </w:pPr>
      <w:r>
        <w:rPr>
          <w:rFonts w:ascii="Calibri" w:cs="Calibri" w:eastAsia="Calibri" w:hAnsi="Calibri"/>
          <w:b/>
          <w:bCs/>
          <w:caps/>
          <w:color w:val="0D274D"/>
          <w:sz w:val="22"/>
          <w:szCs w:val="22"/>
        </w:rPr>
        <w:t xml:space="preserve">Architecture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approach to consistent security enforcement across firewalls, cloud gateways, workloads and Kubernetes, all managed centrally.</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2026-08-03T20:08:36.046Z</dcterms:created>
  <dcterms:modified xsi:type="dcterms:W3CDTF">2026-08-03T20:08:36.046Z</dcterms:modified>
</cp:coreProperties>
</file>

<file path=docProps/custom.xml><?xml version="1.0" encoding="utf-8"?>
<Properties xmlns="http://schemas.openxmlformats.org/officeDocument/2006/custom-properties" xmlns:vt="http://schemas.openxmlformats.org/officeDocument/2006/docPropsVTypes"/>
</file>