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was delivered using electronic communications and authenticated in accordance with the</w:t>
      </w:r>
    </w:p>
    <w:p>
      <w:r>
        <w:t>registrar's rules relating to electronic form, authentication and manner of delivery under section 1072 of</w:t>
      </w:r>
    </w:p>
    <w:p>
      <w:r>
        <w:t>the Companies Act 2006.</w:t>
      </w:r>
    </w:p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