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8CA" w:rsidRPr="006131CD" w:rsidRDefault="00E14FDD" w:rsidP="009414A0">
      <w:pPr>
        <w:jc w:val="center"/>
        <w:rPr>
          <w:b/>
          <w:sz w:val="32"/>
        </w:rPr>
      </w:pPr>
      <w:r>
        <w:rPr>
          <w:b/>
          <w:sz w:val="32"/>
        </w:rPr>
        <w:t>Messung</w:t>
      </w:r>
      <w:r w:rsidR="009414A0" w:rsidRPr="006131CD">
        <w:rPr>
          <w:b/>
          <w:sz w:val="32"/>
        </w:rPr>
        <w:t xml:space="preserve"> </w:t>
      </w:r>
      <w:r w:rsidR="00404997">
        <w:rPr>
          <w:b/>
          <w:sz w:val="32"/>
        </w:rPr>
        <w:t>BLE-Kommunikation</w:t>
      </w:r>
    </w:p>
    <w:p w:rsidR="00F47830" w:rsidRPr="006131CD" w:rsidRDefault="00F47830" w:rsidP="00F47830">
      <w:r w:rsidRPr="006131CD">
        <w:t xml:space="preserve">Autor: </w:t>
      </w:r>
      <w:r w:rsidR="00CD21A7" w:rsidRPr="006131CD">
        <w:t>Manuel König</w:t>
      </w:r>
      <w:r w:rsidRPr="006131CD">
        <w:br/>
        <w:t>Messdatum:</w:t>
      </w:r>
      <w:r w:rsidR="00CD21A7" w:rsidRPr="006131CD">
        <w:t xml:space="preserve"> </w:t>
      </w:r>
      <w:r w:rsidR="00B94969">
        <w:t>22</w:t>
      </w:r>
      <w:r w:rsidR="0025611F">
        <w:t>. Mai</w:t>
      </w:r>
      <w:r w:rsidR="00CD21A7" w:rsidRPr="006131CD">
        <w:t xml:space="preserve"> 2016</w:t>
      </w:r>
    </w:p>
    <w:p w:rsidR="00F47830" w:rsidRPr="006131CD" w:rsidRDefault="00F47830" w:rsidP="00F47830"/>
    <w:p w:rsidR="009414A0" w:rsidRDefault="009414A0" w:rsidP="00736FBB">
      <w:pPr>
        <w:pStyle w:val="berschrift2"/>
      </w:pPr>
      <w:r w:rsidRPr="006131CD">
        <w:t>Zusammenfassung</w:t>
      </w:r>
    </w:p>
    <w:p w:rsidR="001B7DF7" w:rsidRPr="001B7DF7" w:rsidRDefault="001B7DF7" w:rsidP="001B7DF7">
      <w:r>
        <w:t>Es sollte gezeigt werden, wie viele Pakete bei der Übertragung verloren gehen. Der Paketverlust liegt zwischen 8 und 17%.</w:t>
      </w:r>
      <w:bookmarkStart w:id="0" w:name="_GoBack"/>
      <w:bookmarkEnd w:id="0"/>
    </w:p>
    <w:p w:rsidR="009414A0" w:rsidRPr="006131CD" w:rsidRDefault="009414A0">
      <w:r w:rsidRPr="006131CD">
        <w:br w:type="page"/>
      </w:r>
    </w:p>
    <w:p w:rsidR="009414A0" w:rsidRDefault="009414A0" w:rsidP="009414A0">
      <w:pPr>
        <w:pStyle w:val="berschrift2"/>
      </w:pPr>
      <w:r w:rsidRPr="006131CD">
        <w:lastRenderedPageBreak/>
        <w:t>1 Aufgabenstellung</w:t>
      </w:r>
    </w:p>
    <w:p w:rsidR="00326AC3" w:rsidRPr="00326AC3" w:rsidRDefault="00EB28CA" w:rsidP="00326AC3">
      <w:r>
        <w:t>Es soll untersucht werden, wie viele BLE-Pakete von einem Sniffer und von der selbst entwickelten App empfangen werden.</w:t>
      </w:r>
    </w:p>
    <w:p w:rsidR="00573131" w:rsidRDefault="009414A0" w:rsidP="00573131">
      <w:pPr>
        <w:pStyle w:val="berschrift2"/>
      </w:pPr>
      <w:r w:rsidRPr="006131CD">
        <w:t>2 Messschaltung/Messverfahren</w:t>
      </w:r>
    </w:p>
    <w:p w:rsidR="00736FBB" w:rsidRPr="006131CD" w:rsidRDefault="00736FBB" w:rsidP="00736FBB">
      <w:pPr>
        <w:pStyle w:val="berschrift3"/>
      </w:pPr>
      <w:r w:rsidRPr="006131CD">
        <w:t>Vorgehen</w:t>
      </w:r>
    </w:p>
    <w:p w:rsidR="00421A92" w:rsidRPr="006131CD" w:rsidRDefault="00EB28CA" w:rsidP="00421A92">
      <w:r>
        <w:t>Für diese Messung wurde ein Counter in der App eingebaut, welcher die Anzahl empfangener Pakete zählt und per Button zurückgesetzt werden kann. Für den Sniffer gibt es bereits eine Anwendung, beide Anwendungen wurden zu dem gleichen Zeitpunkt zurückgesetzt.</w:t>
      </w:r>
    </w:p>
    <w:p w:rsidR="009414A0" w:rsidRDefault="009414A0" w:rsidP="009414A0">
      <w:pPr>
        <w:pStyle w:val="berschrift2"/>
      </w:pPr>
      <w:r w:rsidRPr="006131CD">
        <w:t>3 Ergebnis</w:t>
      </w:r>
    </w:p>
    <w:p w:rsidR="00BA79F2" w:rsidRPr="00BA79F2" w:rsidRDefault="00EB28CA" w:rsidP="00BA79F2">
      <w:r>
        <w:t xml:space="preserve">Bei einer Geschwindigkeit von </w:t>
      </w:r>
      <w:r w:rsidR="00BA79F2">
        <w:t>20 km/h</w:t>
      </w:r>
      <w:r>
        <w:t xml:space="preserve"> ergibt sich folgende Tabelle.</w:t>
      </w:r>
      <w:r w:rsidR="00C45D7E">
        <w:t xml:space="preserve"> Es wird davon ausgegangen, dass der Sniffer alle gesendeten Pakete empfängt.</w:t>
      </w:r>
    </w:p>
    <w:tbl>
      <w:tblPr>
        <w:tblStyle w:val="Tabellenraster"/>
        <w:tblW w:w="0" w:type="auto"/>
        <w:tblLook w:val="04A0" w:firstRow="1" w:lastRow="0" w:firstColumn="1" w:lastColumn="0" w:noHBand="0" w:noVBand="1"/>
      </w:tblPr>
      <w:tblGrid>
        <w:gridCol w:w="1950"/>
        <w:gridCol w:w="2156"/>
        <w:gridCol w:w="2658"/>
        <w:gridCol w:w="1364"/>
      </w:tblGrid>
      <w:tr w:rsidR="00D7736B" w:rsidTr="00C45D7E">
        <w:tc>
          <w:tcPr>
            <w:tcW w:w="1950" w:type="dxa"/>
          </w:tcPr>
          <w:p w:rsidR="00D7736B" w:rsidRPr="00BA79F2" w:rsidRDefault="00D7736B" w:rsidP="00404997">
            <w:pPr>
              <w:rPr>
                <w:b/>
              </w:rPr>
            </w:pPr>
            <w:r w:rsidRPr="00BA79F2">
              <w:rPr>
                <w:b/>
              </w:rPr>
              <w:t>Messperiode</w:t>
            </w:r>
          </w:p>
        </w:tc>
        <w:tc>
          <w:tcPr>
            <w:tcW w:w="2156" w:type="dxa"/>
          </w:tcPr>
          <w:p w:rsidR="00D7736B" w:rsidRPr="00BA79F2" w:rsidRDefault="00C45D7E" w:rsidP="00404997">
            <w:pPr>
              <w:rPr>
                <w:b/>
              </w:rPr>
            </w:pPr>
            <w:r>
              <w:rPr>
                <w:b/>
              </w:rPr>
              <w:t>Empf. Pakete Sniffer</w:t>
            </w:r>
          </w:p>
        </w:tc>
        <w:tc>
          <w:tcPr>
            <w:tcW w:w="2658" w:type="dxa"/>
          </w:tcPr>
          <w:p w:rsidR="00D7736B" w:rsidRPr="00BA79F2" w:rsidRDefault="00D7736B" w:rsidP="00404997">
            <w:pPr>
              <w:rPr>
                <w:b/>
              </w:rPr>
            </w:pPr>
            <w:r w:rsidRPr="00BA79F2">
              <w:rPr>
                <w:b/>
              </w:rPr>
              <w:t>Empf. Pakete</w:t>
            </w:r>
            <w:r w:rsidR="00C45D7E">
              <w:rPr>
                <w:b/>
              </w:rPr>
              <w:t xml:space="preserve"> Smartphone</w:t>
            </w:r>
          </w:p>
        </w:tc>
        <w:tc>
          <w:tcPr>
            <w:tcW w:w="239" w:type="dxa"/>
          </w:tcPr>
          <w:p w:rsidR="00D7736B" w:rsidRPr="00BA79F2" w:rsidRDefault="00D7736B" w:rsidP="00404997">
            <w:pPr>
              <w:rPr>
                <w:b/>
              </w:rPr>
            </w:pPr>
            <w:r w:rsidRPr="00BA79F2">
              <w:rPr>
                <w:b/>
              </w:rPr>
              <w:t>Paketverlust</w:t>
            </w:r>
          </w:p>
        </w:tc>
      </w:tr>
      <w:tr w:rsidR="00D7736B" w:rsidTr="00C45D7E">
        <w:tc>
          <w:tcPr>
            <w:tcW w:w="1950" w:type="dxa"/>
          </w:tcPr>
          <w:p w:rsidR="00D7736B" w:rsidRDefault="00D7736B" w:rsidP="00404997">
            <w:r>
              <w:t>1 min</w:t>
            </w:r>
          </w:p>
        </w:tc>
        <w:tc>
          <w:tcPr>
            <w:tcW w:w="2156" w:type="dxa"/>
          </w:tcPr>
          <w:p w:rsidR="00D7736B" w:rsidRDefault="00D7736B" w:rsidP="00404997">
            <w:r>
              <w:t>38</w:t>
            </w:r>
          </w:p>
        </w:tc>
        <w:tc>
          <w:tcPr>
            <w:tcW w:w="2658" w:type="dxa"/>
          </w:tcPr>
          <w:p w:rsidR="00D7736B" w:rsidRDefault="00D7736B" w:rsidP="00404997">
            <w:r>
              <w:t>35</w:t>
            </w:r>
          </w:p>
        </w:tc>
        <w:tc>
          <w:tcPr>
            <w:tcW w:w="239" w:type="dxa"/>
          </w:tcPr>
          <w:p w:rsidR="00D7736B" w:rsidRDefault="00D7736B" w:rsidP="00D7736B">
            <w:pPr>
              <w:jc w:val="right"/>
            </w:pPr>
            <w:r>
              <w:t>7.9 %</w:t>
            </w:r>
          </w:p>
        </w:tc>
      </w:tr>
      <w:tr w:rsidR="00D7736B" w:rsidTr="00C45D7E">
        <w:tc>
          <w:tcPr>
            <w:tcW w:w="1950" w:type="dxa"/>
          </w:tcPr>
          <w:p w:rsidR="00D7736B" w:rsidRDefault="00D7736B" w:rsidP="00404997">
            <w:r>
              <w:t>1 min</w:t>
            </w:r>
          </w:p>
        </w:tc>
        <w:tc>
          <w:tcPr>
            <w:tcW w:w="2156" w:type="dxa"/>
          </w:tcPr>
          <w:p w:rsidR="00D7736B" w:rsidRDefault="0003747E" w:rsidP="00404997">
            <w:r>
              <w:t>37</w:t>
            </w:r>
          </w:p>
        </w:tc>
        <w:tc>
          <w:tcPr>
            <w:tcW w:w="2658" w:type="dxa"/>
          </w:tcPr>
          <w:p w:rsidR="00D7736B" w:rsidRDefault="0003747E" w:rsidP="00404997">
            <w:r>
              <w:t>31</w:t>
            </w:r>
          </w:p>
        </w:tc>
        <w:tc>
          <w:tcPr>
            <w:tcW w:w="239" w:type="dxa"/>
          </w:tcPr>
          <w:p w:rsidR="00D7736B" w:rsidRDefault="0003747E" w:rsidP="00D7736B">
            <w:pPr>
              <w:jc w:val="right"/>
            </w:pPr>
            <w:r>
              <w:t>16.2 %</w:t>
            </w:r>
          </w:p>
        </w:tc>
      </w:tr>
      <w:tr w:rsidR="00D7736B" w:rsidTr="00C45D7E">
        <w:tc>
          <w:tcPr>
            <w:tcW w:w="1950" w:type="dxa"/>
          </w:tcPr>
          <w:p w:rsidR="00D7736B" w:rsidRDefault="00D7736B" w:rsidP="00404997">
            <w:r>
              <w:t>2 min</w:t>
            </w:r>
          </w:p>
        </w:tc>
        <w:tc>
          <w:tcPr>
            <w:tcW w:w="2156" w:type="dxa"/>
          </w:tcPr>
          <w:p w:rsidR="00D7736B" w:rsidRDefault="00D7736B" w:rsidP="00404997">
            <w:r>
              <w:t>75</w:t>
            </w:r>
          </w:p>
        </w:tc>
        <w:tc>
          <w:tcPr>
            <w:tcW w:w="2658" w:type="dxa"/>
          </w:tcPr>
          <w:p w:rsidR="00D7736B" w:rsidRDefault="00D7736B" w:rsidP="00404997">
            <w:r>
              <w:t>64</w:t>
            </w:r>
          </w:p>
        </w:tc>
        <w:tc>
          <w:tcPr>
            <w:tcW w:w="239" w:type="dxa"/>
          </w:tcPr>
          <w:p w:rsidR="00D7736B" w:rsidRDefault="00D7736B" w:rsidP="00D7736B">
            <w:pPr>
              <w:jc w:val="right"/>
            </w:pPr>
            <w:r>
              <w:t>14.7 %</w:t>
            </w:r>
          </w:p>
        </w:tc>
      </w:tr>
      <w:tr w:rsidR="00D7736B" w:rsidTr="00C45D7E">
        <w:tc>
          <w:tcPr>
            <w:tcW w:w="1950" w:type="dxa"/>
          </w:tcPr>
          <w:p w:rsidR="00D7736B" w:rsidRDefault="00D7736B" w:rsidP="00404997">
            <w:r>
              <w:t>2 min</w:t>
            </w:r>
          </w:p>
        </w:tc>
        <w:tc>
          <w:tcPr>
            <w:tcW w:w="2156" w:type="dxa"/>
          </w:tcPr>
          <w:p w:rsidR="00D7736B" w:rsidRDefault="0003747E" w:rsidP="00404997">
            <w:r>
              <w:t>77</w:t>
            </w:r>
          </w:p>
        </w:tc>
        <w:tc>
          <w:tcPr>
            <w:tcW w:w="2658" w:type="dxa"/>
          </w:tcPr>
          <w:p w:rsidR="00D7736B" w:rsidRDefault="0003747E" w:rsidP="00404997">
            <w:r>
              <w:t>65</w:t>
            </w:r>
          </w:p>
        </w:tc>
        <w:tc>
          <w:tcPr>
            <w:tcW w:w="239" w:type="dxa"/>
          </w:tcPr>
          <w:p w:rsidR="00D7736B" w:rsidRDefault="0003747E" w:rsidP="00D7736B">
            <w:pPr>
              <w:jc w:val="right"/>
            </w:pPr>
            <w:r>
              <w:t>15.6 %</w:t>
            </w:r>
          </w:p>
        </w:tc>
      </w:tr>
      <w:tr w:rsidR="00D7736B" w:rsidTr="00C45D7E">
        <w:tc>
          <w:tcPr>
            <w:tcW w:w="1950" w:type="dxa"/>
          </w:tcPr>
          <w:p w:rsidR="00D7736B" w:rsidRDefault="00D7736B" w:rsidP="00404997">
            <w:r>
              <w:t>5 min</w:t>
            </w:r>
          </w:p>
        </w:tc>
        <w:tc>
          <w:tcPr>
            <w:tcW w:w="2156" w:type="dxa"/>
          </w:tcPr>
          <w:p w:rsidR="00D7736B" w:rsidRDefault="00D7736B" w:rsidP="00404997">
            <w:r>
              <w:t>193</w:t>
            </w:r>
          </w:p>
        </w:tc>
        <w:tc>
          <w:tcPr>
            <w:tcW w:w="2658" w:type="dxa"/>
          </w:tcPr>
          <w:p w:rsidR="00D7736B" w:rsidRDefault="00D7736B" w:rsidP="00404997">
            <w:r>
              <w:t>168</w:t>
            </w:r>
          </w:p>
        </w:tc>
        <w:tc>
          <w:tcPr>
            <w:tcW w:w="239" w:type="dxa"/>
          </w:tcPr>
          <w:p w:rsidR="00D7736B" w:rsidRDefault="00D7736B" w:rsidP="00D7736B">
            <w:pPr>
              <w:jc w:val="right"/>
            </w:pPr>
            <w:r>
              <w:t>13.0 %</w:t>
            </w:r>
          </w:p>
        </w:tc>
      </w:tr>
      <w:tr w:rsidR="00D7736B" w:rsidTr="00C45D7E">
        <w:tc>
          <w:tcPr>
            <w:tcW w:w="1950" w:type="dxa"/>
          </w:tcPr>
          <w:p w:rsidR="00D7736B" w:rsidRDefault="00D7736B" w:rsidP="00404997">
            <w:r>
              <w:t>5 min</w:t>
            </w:r>
          </w:p>
        </w:tc>
        <w:tc>
          <w:tcPr>
            <w:tcW w:w="2156" w:type="dxa"/>
          </w:tcPr>
          <w:p w:rsidR="00D7736B" w:rsidRDefault="00D7736B" w:rsidP="00404997">
            <w:r>
              <w:t>190</w:t>
            </w:r>
          </w:p>
        </w:tc>
        <w:tc>
          <w:tcPr>
            <w:tcW w:w="2658" w:type="dxa"/>
          </w:tcPr>
          <w:p w:rsidR="00D7736B" w:rsidRDefault="00D7736B" w:rsidP="00404997">
            <w:r>
              <w:t>158</w:t>
            </w:r>
          </w:p>
        </w:tc>
        <w:tc>
          <w:tcPr>
            <w:tcW w:w="239" w:type="dxa"/>
          </w:tcPr>
          <w:p w:rsidR="00D7736B" w:rsidRDefault="00D7736B" w:rsidP="00D7736B">
            <w:pPr>
              <w:jc w:val="right"/>
            </w:pPr>
            <w:r>
              <w:t>16.8 %</w:t>
            </w:r>
          </w:p>
        </w:tc>
      </w:tr>
      <w:tr w:rsidR="00D7736B" w:rsidTr="00C45D7E">
        <w:tc>
          <w:tcPr>
            <w:tcW w:w="1950" w:type="dxa"/>
          </w:tcPr>
          <w:p w:rsidR="00D7736B" w:rsidRDefault="00D7736B" w:rsidP="00404997">
            <w:r>
              <w:t>10 min</w:t>
            </w:r>
          </w:p>
        </w:tc>
        <w:tc>
          <w:tcPr>
            <w:tcW w:w="2156" w:type="dxa"/>
          </w:tcPr>
          <w:p w:rsidR="00D7736B" w:rsidRDefault="00D7736B" w:rsidP="00404997">
            <w:r>
              <w:t>345</w:t>
            </w:r>
          </w:p>
        </w:tc>
        <w:tc>
          <w:tcPr>
            <w:tcW w:w="2658" w:type="dxa"/>
          </w:tcPr>
          <w:p w:rsidR="00D7736B" w:rsidRDefault="0003747E" w:rsidP="00404997">
            <w:r>
              <w:t>301</w:t>
            </w:r>
          </w:p>
        </w:tc>
        <w:tc>
          <w:tcPr>
            <w:tcW w:w="239" w:type="dxa"/>
          </w:tcPr>
          <w:p w:rsidR="00D7736B" w:rsidRDefault="0003747E" w:rsidP="00D7736B">
            <w:pPr>
              <w:jc w:val="right"/>
            </w:pPr>
            <w:r>
              <w:t>12.8 %</w:t>
            </w:r>
          </w:p>
        </w:tc>
      </w:tr>
      <w:tr w:rsidR="00D7736B" w:rsidTr="00C45D7E">
        <w:tc>
          <w:tcPr>
            <w:tcW w:w="1950" w:type="dxa"/>
          </w:tcPr>
          <w:p w:rsidR="00D7736B" w:rsidRDefault="00D7736B" w:rsidP="00404997">
            <w:r>
              <w:t>10 min</w:t>
            </w:r>
          </w:p>
        </w:tc>
        <w:tc>
          <w:tcPr>
            <w:tcW w:w="2156" w:type="dxa"/>
          </w:tcPr>
          <w:p w:rsidR="00D7736B" w:rsidRDefault="0003747E" w:rsidP="00404997">
            <w:r>
              <w:t>349</w:t>
            </w:r>
          </w:p>
        </w:tc>
        <w:tc>
          <w:tcPr>
            <w:tcW w:w="2658" w:type="dxa"/>
          </w:tcPr>
          <w:p w:rsidR="00D7736B" w:rsidRDefault="00E425DA" w:rsidP="00404997">
            <w:r>
              <w:t>302</w:t>
            </w:r>
          </w:p>
        </w:tc>
        <w:tc>
          <w:tcPr>
            <w:tcW w:w="239" w:type="dxa"/>
          </w:tcPr>
          <w:p w:rsidR="00D7736B" w:rsidRDefault="00E425DA" w:rsidP="00D7736B">
            <w:pPr>
              <w:jc w:val="right"/>
            </w:pPr>
            <w:r>
              <w:t>13.5 %</w:t>
            </w:r>
          </w:p>
        </w:tc>
      </w:tr>
    </w:tbl>
    <w:p w:rsidR="00404997" w:rsidRPr="00404997" w:rsidRDefault="00404997" w:rsidP="00404997"/>
    <w:p w:rsidR="009414A0" w:rsidRDefault="009414A0" w:rsidP="009414A0">
      <w:pPr>
        <w:pStyle w:val="berschrift2"/>
      </w:pPr>
      <w:r w:rsidRPr="006131CD">
        <w:t>4 Schlusswort</w:t>
      </w:r>
    </w:p>
    <w:p w:rsidR="003A64EB" w:rsidRPr="003A64EB" w:rsidRDefault="00EB28CA" w:rsidP="003A64EB">
      <w:r>
        <w:t>Der Packageloss liegt zwischen 12 und 17 %. Die aller erste Messung zeigt einen deutlich geringeren Packageloss, dies könnte daran liegen, dass das Smartphone erst nach einer gewissen Zeit die Bluetoothschnittstelle nur noch 80 % der Zeit eingeschalten lässt (gem. Aussage Dario).</w:t>
      </w:r>
    </w:p>
    <w:p w:rsidR="009414A0" w:rsidRPr="006131CD" w:rsidRDefault="009414A0" w:rsidP="009414A0">
      <w:pPr>
        <w:pStyle w:val="berschrift2"/>
      </w:pPr>
      <w:r w:rsidRPr="006131CD">
        <w:t>5 Inventar</w:t>
      </w:r>
    </w:p>
    <w:p w:rsidR="00EB28CA" w:rsidRPr="006131CD" w:rsidRDefault="00EB28CA" w:rsidP="006131CD">
      <w:pPr>
        <w:tabs>
          <w:tab w:val="left" w:pos="2268"/>
        </w:tabs>
      </w:pPr>
      <w:r>
        <w:t>Smartphone:</w:t>
      </w:r>
      <w:r>
        <w:tab/>
        <w:t>Samsung Galaxy S7 Edge</w:t>
      </w:r>
      <w:r>
        <w:br/>
        <w:t xml:space="preserve">Sniffer: </w:t>
      </w:r>
      <w:r>
        <w:tab/>
      </w:r>
      <w:r w:rsidR="00C45D7E">
        <w:t>TI CC2540Dongle Rev. 1.0.1</w:t>
      </w:r>
    </w:p>
    <w:sectPr w:rsidR="00EB28CA" w:rsidRPr="006131C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F7DF2"/>
    <w:multiLevelType w:val="hybridMultilevel"/>
    <w:tmpl w:val="BF6E9B04"/>
    <w:lvl w:ilvl="0" w:tplc="72246582">
      <w:start w:val="2"/>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39E22A2"/>
    <w:multiLevelType w:val="hybridMultilevel"/>
    <w:tmpl w:val="C44C3BE0"/>
    <w:lvl w:ilvl="0" w:tplc="183898F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73711282"/>
    <w:multiLevelType w:val="hybridMultilevel"/>
    <w:tmpl w:val="9EC6790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00B"/>
    <w:rsid w:val="00003FFC"/>
    <w:rsid w:val="000370E1"/>
    <w:rsid w:val="0003747E"/>
    <w:rsid w:val="00050ECC"/>
    <w:rsid w:val="00061A9D"/>
    <w:rsid w:val="00063CA2"/>
    <w:rsid w:val="000707E2"/>
    <w:rsid w:val="000767A0"/>
    <w:rsid w:val="00090774"/>
    <w:rsid w:val="00094EB6"/>
    <w:rsid w:val="000D0876"/>
    <w:rsid w:val="000E1605"/>
    <w:rsid w:val="000E2B63"/>
    <w:rsid w:val="000F26F9"/>
    <w:rsid w:val="001055D6"/>
    <w:rsid w:val="00122BD6"/>
    <w:rsid w:val="00130951"/>
    <w:rsid w:val="00130F76"/>
    <w:rsid w:val="00176255"/>
    <w:rsid w:val="001A22C5"/>
    <w:rsid w:val="001B69A1"/>
    <w:rsid w:val="001B7DF7"/>
    <w:rsid w:val="001C6150"/>
    <w:rsid w:val="00201ACC"/>
    <w:rsid w:val="002059E8"/>
    <w:rsid w:val="00206E05"/>
    <w:rsid w:val="002244D7"/>
    <w:rsid w:val="00236688"/>
    <w:rsid w:val="0025611F"/>
    <w:rsid w:val="00256EA7"/>
    <w:rsid w:val="0026656A"/>
    <w:rsid w:val="002B0591"/>
    <w:rsid w:val="002C7EF2"/>
    <w:rsid w:val="002D0756"/>
    <w:rsid w:val="002D1551"/>
    <w:rsid w:val="0031718D"/>
    <w:rsid w:val="00326AC3"/>
    <w:rsid w:val="00331507"/>
    <w:rsid w:val="00342004"/>
    <w:rsid w:val="00356AD7"/>
    <w:rsid w:val="003577BD"/>
    <w:rsid w:val="003938CA"/>
    <w:rsid w:val="003A64EB"/>
    <w:rsid w:val="003B372C"/>
    <w:rsid w:val="003E6E73"/>
    <w:rsid w:val="0040349B"/>
    <w:rsid w:val="00404997"/>
    <w:rsid w:val="00411E2C"/>
    <w:rsid w:val="00411E85"/>
    <w:rsid w:val="00421A92"/>
    <w:rsid w:val="00436208"/>
    <w:rsid w:val="00437017"/>
    <w:rsid w:val="00443A6E"/>
    <w:rsid w:val="004456FC"/>
    <w:rsid w:val="004C4045"/>
    <w:rsid w:val="00502265"/>
    <w:rsid w:val="0051323A"/>
    <w:rsid w:val="0053493E"/>
    <w:rsid w:val="00551612"/>
    <w:rsid w:val="00554146"/>
    <w:rsid w:val="00566D63"/>
    <w:rsid w:val="00573131"/>
    <w:rsid w:val="00584DC7"/>
    <w:rsid w:val="005903A0"/>
    <w:rsid w:val="005E0BCF"/>
    <w:rsid w:val="005E35DC"/>
    <w:rsid w:val="005F2A71"/>
    <w:rsid w:val="006131CD"/>
    <w:rsid w:val="00614539"/>
    <w:rsid w:val="00641FD4"/>
    <w:rsid w:val="00644128"/>
    <w:rsid w:val="00647408"/>
    <w:rsid w:val="00661B02"/>
    <w:rsid w:val="00676FB3"/>
    <w:rsid w:val="00684D7D"/>
    <w:rsid w:val="006B75A4"/>
    <w:rsid w:val="006C12B8"/>
    <w:rsid w:val="006C459A"/>
    <w:rsid w:val="006D0E04"/>
    <w:rsid w:val="006D3E4C"/>
    <w:rsid w:val="006D6FF9"/>
    <w:rsid w:val="006D732D"/>
    <w:rsid w:val="006F2513"/>
    <w:rsid w:val="006F3D88"/>
    <w:rsid w:val="00736FBB"/>
    <w:rsid w:val="0074507A"/>
    <w:rsid w:val="00746D73"/>
    <w:rsid w:val="00756BC6"/>
    <w:rsid w:val="00757F9C"/>
    <w:rsid w:val="0076506A"/>
    <w:rsid w:val="0076687A"/>
    <w:rsid w:val="00781854"/>
    <w:rsid w:val="0078380C"/>
    <w:rsid w:val="007F06D6"/>
    <w:rsid w:val="007F2029"/>
    <w:rsid w:val="007F53FF"/>
    <w:rsid w:val="0081718A"/>
    <w:rsid w:val="0084585E"/>
    <w:rsid w:val="0086267C"/>
    <w:rsid w:val="0087438B"/>
    <w:rsid w:val="008A38FC"/>
    <w:rsid w:val="008A399E"/>
    <w:rsid w:val="008B6395"/>
    <w:rsid w:val="008C3F90"/>
    <w:rsid w:val="008E270C"/>
    <w:rsid w:val="008E3AE6"/>
    <w:rsid w:val="009108CD"/>
    <w:rsid w:val="00912C83"/>
    <w:rsid w:val="00914B22"/>
    <w:rsid w:val="009414A0"/>
    <w:rsid w:val="00951FEB"/>
    <w:rsid w:val="0097713C"/>
    <w:rsid w:val="00987E77"/>
    <w:rsid w:val="009A543E"/>
    <w:rsid w:val="009C453D"/>
    <w:rsid w:val="009F721A"/>
    <w:rsid w:val="00A15920"/>
    <w:rsid w:val="00A278DD"/>
    <w:rsid w:val="00A65129"/>
    <w:rsid w:val="00A66D8D"/>
    <w:rsid w:val="00A90406"/>
    <w:rsid w:val="00AD0D7B"/>
    <w:rsid w:val="00AE6E0D"/>
    <w:rsid w:val="00B103FF"/>
    <w:rsid w:val="00B2748A"/>
    <w:rsid w:val="00B47E0F"/>
    <w:rsid w:val="00B52EAB"/>
    <w:rsid w:val="00B5573F"/>
    <w:rsid w:val="00B67BB8"/>
    <w:rsid w:val="00B705E2"/>
    <w:rsid w:val="00B92E14"/>
    <w:rsid w:val="00B94969"/>
    <w:rsid w:val="00BA79F2"/>
    <w:rsid w:val="00BD6AF7"/>
    <w:rsid w:val="00BE1DBF"/>
    <w:rsid w:val="00C04FB5"/>
    <w:rsid w:val="00C129AF"/>
    <w:rsid w:val="00C25070"/>
    <w:rsid w:val="00C4263B"/>
    <w:rsid w:val="00C45D7E"/>
    <w:rsid w:val="00C47F49"/>
    <w:rsid w:val="00C67979"/>
    <w:rsid w:val="00C973AE"/>
    <w:rsid w:val="00CB7D64"/>
    <w:rsid w:val="00CC5B22"/>
    <w:rsid w:val="00CD21A7"/>
    <w:rsid w:val="00D16503"/>
    <w:rsid w:val="00D20701"/>
    <w:rsid w:val="00D3362D"/>
    <w:rsid w:val="00D7736B"/>
    <w:rsid w:val="00DA4B8D"/>
    <w:rsid w:val="00DE000B"/>
    <w:rsid w:val="00DF55BD"/>
    <w:rsid w:val="00E14644"/>
    <w:rsid w:val="00E14E2B"/>
    <w:rsid w:val="00E14FDD"/>
    <w:rsid w:val="00E4193E"/>
    <w:rsid w:val="00E425DA"/>
    <w:rsid w:val="00E4402A"/>
    <w:rsid w:val="00E70CFA"/>
    <w:rsid w:val="00E81442"/>
    <w:rsid w:val="00EA2CDB"/>
    <w:rsid w:val="00EB28CA"/>
    <w:rsid w:val="00ED64BB"/>
    <w:rsid w:val="00EE1579"/>
    <w:rsid w:val="00EF4E4C"/>
    <w:rsid w:val="00F42972"/>
    <w:rsid w:val="00F47830"/>
    <w:rsid w:val="00F517F7"/>
    <w:rsid w:val="00F532D6"/>
    <w:rsid w:val="00F624A3"/>
    <w:rsid w:val="00F93AC3"/>
    <w:rsid w:val="00FC7906"/>
    <w:rsid w:val="00FE37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A82BE"/>
  <w15:chartTrackingRefBased/>
  <w15:docId w15:val="{18DFFE60-06A3-41C1-AB2A-2B6C44D2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2">
    <w:name w:val="heading 2"/>
    <w:basedOn w:val="Standard"/>
    <w:next w:val="Standard"/>
    <w:link w:val="berschrift2Zchn"/>
    <w:autoRedefine/>
    <w:uiPriority w:val="9"/>
    <w:unhideWhenUsed/>
    <w:qFormat/>
    <w:rsid w:val="00736FBB"/>
    <w:pPr>
      <w:keepNext/>
      <w:keepLines/>
      <w:spacing w:before="40" w:after="0"/>
      <w:outlineLvl w:val="1"/>
    </w:pPr>
    <w:rPr>
      <w:rFonts w:asciiTheme="majorHAnsi" w:eastAsiaTheme="majorEastAsia" w:hAnsiTheme="majorHAnsi" w:cstheme="majorBidi"/>
      <w:b/>
      <w:sz w:val="28"/>
      <w:szCs w:val="26"/>
    </w:rPr>
  </w:style>
  <w:style w:type="paragraph" w:styleId="berschrift3">
    <w:name w:val="heading 3"/>
    <w:basedOn w:val="Standard"/>
    <w:next w:val="Standard"/>
    <w:link w:val="berschrift3Zchn"/>
    <w:uiPriority w:val="9"/>
    <w:unhideWhenUsed/>
    <w:qFormat/>
    <w:rsid w:val="00736FBB"/>
    <w:pPr>
      <w:keepNext/>
      <w:keepLines/>
      <w:spacing w:before="40" w:after="0"/>
      <w:outlineLvl w:val="2"/>
    </w:pPr>
    <w:rPr>
      <w:rFonts w:asciiTheme="majorHAnsi" w:eastAsiaTheme="majorEastAsia" w:hAnsiTheme="majorHAnsi"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414A0"/>
    <w:pPr>
      <w:ind w:left="720"/>
      <w:contextualSpacing/>
    </w:pPr>
  </w:style>
  <w:style w:type="character" w:customStyle="1" w:styleId="berschrift2Zchn">
    <w:name w:val="Überschrift 2 Zchn"/>
    <w:basedOn w:val="Absatz-Standardschriftart"/>
    <w:link w:val="berschrift2"/>
    <w:uiPriority w:val="9"/>
    <w:rsid w:val="00736FBB"/>
    <w:rPr>
      <w:rFonts w:asciiTheme="majorHAnsi" w:eastAsiaTheme="majorEastAsia" w:hAnsiTheme="majorHAnsi" w:cstheme="majorBidi"/>
      <w:b/>
      <w:sz w:val="28"/>
      <w:szCs w:val="26"/>
    </w:rPr>
  </w:style>
  <w:style w:type="character" w:customStyle="1" w:styleId="berschrift3Zchn">
    <w:name w:val="Überschrift 3 Zchn"/>
    <w:basedOn w:val="Absatz-Standardschriftart"/>
    <w:link w:val="berschrift3"/>
    <w:uiPriority w:val="9"/>
    <w:rsid w:val="00736FBB"/>
    <w:rPr>
      <w:rFonts w:asciiTheme="majorHAnsi" w:eastAsiaTheme="majorEastAsia" w:hAnsiTheme="majorHAnsi" w:cstheme="majorBidi"/>
      <w:b/>
      <w:sz w:val="24"/>
      <w:szCs w:val="24"/>
    </w:rPr>
  </w:style>
  <w:style w:type="paragraph" w:styleId="Beschriftung">
    <w:name w:val="caption"/>
    <w:basedOn w:val="Standard"/>
    <w:next w:val="Standard"/>
    <w:uiPriority w:val="35"/>
    <w:unhideWhenUsed/>
    <w:qFormat/>
    <w:rsid w:val="007F06D6"/>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EA2CDB"/>
    <w:rPr>
      <w:color w:val="808080"/>
    </w:rPr>
  </w:style>
  <w:style w:type="table" w:styleId="Tabellenraster">
    <w:name w:val="Table Grid"/>
    <w:basedOn w:val="NormaleTabelle"/>
    <w:uiPriority w:val="39"/>
    <w:rsid w:val="00845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9108CD"/>
    <w:pPr>
      <w:spacing w:after="0" w:line="240" w:lineRule="auto"/>
    </w:pPr>
  </w:style>
  <w:style w:type="paragraph" w:styleId="Sprechblasentext">
    <w:name w:val="Balloon Text"/>
    <w:basedOn w:val="Standard"/>
    <w:link w:val="SprechblasentextZchn"/>
    <w:uiPriority w:val="99"/>
    <w:semiHidden/>
    <w:unhideWhenUsed/>
    <w:rsid w:val="004456F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456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FA0A6-FF86-487E-AA04-259CBBAA3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194</Words>
  <Characters>1228</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TheKing</dc:creator>
  <cp:keywords/>
  <dc:description/>
  <cp:lastModifiedBy>TheKing</cp:lastModifiedBy>
  <cp:revision>89</cp:revision>
  <cp:lastPrinted>2016-04-08T08:06:00Z</cp:lastPrinted>
  <dcterms:created xsi:type="dcterms:W3CDTF">2016-02-28T13:02:00Z</dcterms:created>
  <dcterms:modified xsi:type="dcterms:W3CDTF">2016-06-02T17:24:00Z</dcterms:modified>
</cp:coreProperties>
</file>