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widowControl w:val="0"/>
        <w:spacing w:before="0" w:after="0" w:line="360" w:lineRule="auto"/>
        <w:jc w:val="center"/>
        <w:rPr>
          <w:sz w:val="32"/>
          <w:szCs w:val="32"/>
        </w:rPr>
      </w:pPr>
      <w:r>
        <w:rPr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12357100</wp:posOffset>
            </wp:positionH>
            <wp:positionV relativeFrom="topMargin">
              <wp:posOffset>10464800</wp:posOffset>
            </wp:positionV>
            <wp:extent cx="495300" cy="333375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202205</w:t>
      </w:r>
      <w:r>
        <w:rPr>
          <w:rFonts w:ascii="SimSun" w:eastAsia="SimSun" w:hAnsi="SimSun" w:cs="SimSun"/>
          <w:b/>
          <w:bCs/>
          <w:sz w:val="32"/>
          <w:szCs w:val="32"/>
        </w:rPr>
        <w:t>试题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综合题一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ascii="SimSun" w:eastAsia="SimSun" w:hAnsi="SimSun" w:cs="SimSun"/>
          <w:sz w:val="21"/>
          <w:szCs w:val="21"/>
        </w:rPr>
        <w:t>为了提高学校阅卷系统的效率，小申打算开发一种基于人工智能的答题纸识别系统，答题纸模板如图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133725" cy="2352675"/>
            <wp:docPr id="1000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）识别系统对如图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所示的四个区域进行识别并记录。请在左侧选择合适的框图，将其拖至右侧的虚框内，完善算法示意图。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505200" cy="1524000"/>
            <wp:docPr id="10001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处：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）若答题纸图像只有黑白两种颜色，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表示黑色像素点，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表示白色像素点。则表示一个像素点的颜色所需的二进制数位至少是（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A.2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B.8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C.4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）小申通过计算误识率，来客观地衡量系统性能。误识率</w:t>
      </w:r>
      <w:r>
        <w:rPr>
          <w:sz w:val="21"/>
          <w:szCs w:val="21"/>
        </w:rPr>
        <w:t>=</w:t>
      </w:r>
      <w:r>
        <w:rPr>
          <w:rFonts w:ascii="SimSun" w:eastAsia="SimSun" w:hAnsi="SimSun" w:cs="SimSun"/>
          <w:sz w:val="21"/>
          <w:szCs w:val="21"/>
        </w:rPr>
        <w:t>误识数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测试数量，某次测试数据如表所示，则该次的误识率为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tbl>
      <w:tblPr>
        <w:tblW w:w="3840" w:type="dxa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1530"/>
        <w:gridCol w:w="900"/>
      </w:tblGrid>
      <w:tr>
        <w:tblPrEx>
          <w:tblW w:w="3840" w:type="dxa"/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测试数量（张）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误识数（张）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误识率</w:t>
            </w:r>
          </w:p>
        </w:tc>
      </w:tr>
      <w:tr>
        <w:tblPrEx>
          <w:tblW w:w="3840" w:type="dxa"/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br/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015" name="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8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）小申分别使用方法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和方法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进行了多轮实验。在撰写数据分析报告时，依据图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提供的数据，需要比较两种方法的误识率：当实验轮次少于</w:t>
      </w:r>
      <w:r>
        <w:rPr>
          <w:sz w:val="21"/>
          <w:szCs w:val="21"/>
        </w:rPr>
        <w:t>10</w:t>
      </w:r>
      <w:r>
        <w:rPr>
          <w:rFonts w:ascii="SimSun" w:eastAsia="SimSun" w:hAnsi="SimSun" w:cs="SimSun"/>
          <w:sz w:val="21"/>
          <w:szCs w:val="21"/>
        </w:rPr>
        <w:t>次时，两种方法的误识率①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；随着两种方法实验轮次的增加，②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314575" cy="2514600"/>
            <wp:docPr id="10002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2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）识别技术在给我们带来便利和工作效率提高的同时，也隐藏着不安全因素。关于人脸识别技术的应用，以下表述正确的是（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人脸信息泄露，被不法份子利用，会给个人财产和安全造成伤害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通过人脸识别技术，可以帮助公安机关破案</w:t>
      </w:r>
      <w:r>
        <w:rPr>
          <w:sz w:val="21"/>
          <w:szCs w:val="21"/>
        </w:rPr>
        <w:t xml:space="preserve">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火车站利用人脸识别技术配合刷身份证验证旅客身份，提升了车站工作效率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人脸识别的认证方式被广泛应用于金融行业的远程开户、自助开户等场景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综合题二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某超市运用物联网、大数据等技术进行日常管理。顾客购物流程如图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829050" cy="638175"/>
            <wp:docPr id="10003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超市的货架上安装有压力传感器和红外传感器。一旦商品被取走，相关数据会被采集并传输到信息系统中，运营者可以根据这些信息安排好补货工作。这两类实现商品数据采集的传感器，位于物联网基本架构中的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网络层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应用层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感知层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）该超市内的商品都配置了电子标签，在结算时，顾客只需将其放置在收银区，便可自动读取商品信息。以下技术中，能够实现自动读取商品电子标签的是（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33" name="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A.5G</w:t>
      </w:r>
      <w:r>
        <w:rPr>
          <w:rFonts w:ascii="SimSun" w:eastAsia="SimSun" w:hAnsi="SimSun" w:cs="SimSun"/>
          <w:sz w:val="21"/>
          <w:szCs w:val="21"/>
        </w:rPr>
        <w:t>移动通信技术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大数据技术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C.RFID</w:t>
      </w:r>
      <w:r>
        <w:rPr>
          <w:rFonts w:ascii="SimSun" w:eastAsia="SimSun" w:hAnsi="SimSun" w:cs="SimSun"/>
          <w:sz w:val="21"/>
          <w:szCs w:val="21"/>
        </w:rPr>
        <w:t>技术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语音识别技术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）顾客在注册超市会员时，需要用手机扫码下载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。其中，使用该超市</w:t>
      </w:r>
      <w:r>
        <w:rPr>
          <w:sz w:val="21"/>
          <w:szCs w:val="21"/>
        </w:rPr>
        <w:t>APP</w:t>
      </w:r>
      <w:r>
        <w:rPr>
          <w:rFonts w:ascii="SimSun" w:eastAsia="SimSun" w:hAnsi="SimSun" w:cs="SimSun"/>
          <w:sz w:val="21"/>
          <w:szCs w:val="21"/>
        </w:rPr>
        <w:t>的顾客，属于信息系统组成要素中的（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硬件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人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数据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软件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）如图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所示，超市内通过交换机将若干台监控终端连接在一起。由于所有设备相距较近，在考虑更低成本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前提下，该监控终端与交换机之间的通信线路应选用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（选填：</w:t>
      </w:r>
      <w:r>
        <w:rPr>
          <w:sz w:val="21"/>
          <w:szCs w:val="21"/>
        </w:rPr>
        <w:t>HDMI</w:t>
      </w:r>
      <w:r>
        <w:rPr>
          <w:rFonts w:ascii="SimSun" w:eastAsia="SimSun" w:hAnsi="SimSun" w:cs="SimSun"/>
          <w:sz w:val="21"/>
          <w:szCs w:val="21"/>
        </w:rPr>
        <w:t>线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光纤</w:t>
      </w:r>
      <w:r>
        <w:rPr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双绞线）。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924050" cy="1171575"/>
            <wp:docPr id="10004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2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）如图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所示，通过</w:t>
      </w:r>
      <w:r>
        <w:rPr>
          <w:sz w:val="21"/>
          <w:szCs w:val="21"/>
        </w:rPr>
        <w:t>ipconfig</w:t>
      </w:r>
      <w:r>
        <w:rPr>
          <w:rFonts w:ascii="SimSun" w:eastAsia="SimSun" w:hAnsi="SimSun" w:cs="SimSun"/>
          <w:sz w:val="21"/>
          <w:szCs w:val="21"/>
        </w:rPr>
        <w:t>命令，可以在超市的终端监控上查看本机</w:t>
      </w:r>
      <w:r>
        <w:rPr>
          <w:sz w:val="21"/>
          <w:szCs w:val="21"/>
        </w:rPr>
        <w:t>IP</w:t>
      </w:r>
      <w:r>
        <w:rPr>
          <w:rFonts w:ascii="SimSun" w:eastAsia="SimSun" w:hAnsi="SimSun" w:cs="SimSun"/>
          <w:sz w:val="21"/>
          <w:szCs w:val="21"/>
        </w:rPr>
        <w:t>地址。该终端的</w:t>
      </w:r>
      <w:r>
        <w:rPr>
          <w:sz w:val="21"/>
          <w:szCs w:val="21"/>
        </w:rPr>
        <w:t>IP</w:t>
      </w:r>
      <w:r>
        <w:rPr>
          <w:rFonts w:ascii="SimSun" w:eastAsia="SimSun" w:hAnsi="SimSun" w:cs="SimSun"/>
          <w:sz w:val="21"/>
          <w:szCs w:val="21"/>
        </w:rPr>
        <w:t>地址为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048000" cy="1571625"/>
            <wp:docPr id="10005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3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）超市信息系统的运维离不开物理设施与环境的保障。其中，线路老化、突然停电、温度过高、设备被盗等都是常见的物理安全风险。针对这些风险，以下应对措施合理的是（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为系统核心设备配置不间断电源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夜间敞开机房门窗用于散热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及时更换老化的线路</w: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定期检查机房空调的工作情况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超市等零售行业是大数据技术的主要应用领域之一，通过大数据分析可以挖掘到一些对超市有价值的信息，例如通过消费记录、销售额等数据分析，可以对超市内重点区域进行广告宣传，助力超市的发展。关于大数据对超市的作用，以下说法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大数据是提升超市销售额的唯一方式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大数据可以向顾客提供个性化推荐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大数据可以防治超市内的所有风险</w:t>
      </w:r>
      <w:r>
        <w:rPr>
          <w:sz w:val="21"/>
          <w:szCs w:val="21"/>
        </w:rPr>
        <w:t xml:space="preserve">   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大数据可以指导超市采购决策的制定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综合题三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SimSun" w:eastAsia="SimSun" w:hAnsi="SimSun" w:cs="SimSun"/>
          <w:sz w:val="21"/>
          <w:szCs w:val="21"/>
        </w:rPr>
        <w:t>为了提升管理效率，小申准备为学校开发电子阅览室管理系统，实现自动记录学生进出电子阅览室以及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53" name="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5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登记阅读兴趣等功能。登记界面的内容如图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所示。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75"/>
        <w:gridCol w:w="1321"/>
        <w:gridCol w:w="1275"/>
        <w:gridCol w:w="1321"/>
        <w:gridCol w:w="1321"/>
        <w:gridCol w:w="1275"/>
        <w:gridCol w:w="1275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gridSpan w:val="7"/>
            <w:tcBorders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欢迎小明登录系统，请在以下选项中选择不超过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个最感兴趣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33350" cy="180975"/>
                  <wp:docPr id="10006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7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资源类别提交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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人文科学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33350" cy="152400"/>
                  <wp:docPr id="100069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自然科学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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艺术修养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33350" cy="152400"/>
                  <wp:docPr id="100071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学科拓展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133350" cy="152400"/>
                  <wp:docPr id="100073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编程语言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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时事热点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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体育咨询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gridSpan w:val="7"/>
            <w:tcBorders>
              <w:top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2124075" cy="295275"/>
                  <wp:docPr id="100075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75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）电子阅览室管理系统需要记录学生进出的数据，小申设计用校园一卡通卡片作为进出凭证。关于这种方式，以下表述正确的是（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需要在卡片内存储学生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7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标识数据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读取卡片是采用有线通信技术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需要安装读卡器读取卡片信息</w:t>
      </w:r>
      <w:r>
        <w:rPr>
          <w:sz w:val="21"/>
          <w:szCs w:val="21"/>
        </w:rPr>
        <w:t xml:space="preserve">     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一般采用</w:t>
      </w:r>
      <w:r>
        <w:rPr>
          <w:sz w:val="21"/>
          <w:szCs w:val="21"/>
        </w:rPr>
        <w:t>RFID</w:t>
      </w:r>
      <w:r>
        <w:rPr>
          <w:rFonts w:ascii="SimSun" w:eastAsia="SimSun" w:hAnsi="SimSun" w:cs="SimSun"/>
          <w:sz w:val="21"/>
          <w:szCs w:val="21"/>
        </w:rPr>
        <w:t>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）电子阅览室管理系统要增加学生阅读兴趣登记模块。小申设计了</w:t>
      </w:r>
      <w:r>
        <w:rPr>
          <w:sz w:val="21"/>
          <w:szCs w:val="21"/>
        </w:rPr>
        <w:t>xingqu</w:t>
      </w:r>
      <w:r>
        <w:rPr>
          <w:rFonts w:ascii="SimSun" w:eastAsia="SimSun" w:hAnsi="SimSun" w:cs="SimSun"/>
          <w:sz w:val="21"/>
          <w:szCs w:val="21"/>
        </w:rPr>
        <w:t>数据表，用</w:t>
      </w:r>
      <w:r>
        <w:rPr>
          <w:sz w:val="21"/>
          <w:szCs w:val="21"/>
        </w:rPr>
        <w:t>XQLB</w:t>
      </w:r>
      <w:r>
        <w:rPr>
          <w:rFonts w:ascii="SimSun" w:eastAsia="SimSun" w:hAnsi="SimSun" w:cs="SimSun"/>
          <w:sz w:val="21"/>
          <w:szCs w:val="21"/>
        </w:rPr>
        <w:t>字段存储“人文科学”、“自然科学”、“艺术修养”等兴趣类别。该字段的类型是（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A.INTEGER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B.TEXT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C.NUMERIC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）小申设计学生阅读兴趣登记模块流程，如图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所示，学生登录后，需要提交不超过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个阅读兴趣数据。请在左侧选择合适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框图，将其拖至右侧的虚线框内进行组合，完善模块流程。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829050" cy="838200"/>
            <wp:docPr id="10008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2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处：</w:t>
      </w:r>
      <w:r>
        <w:rPr>
          <w:sz w:val="21"/>
          <w:szCs w:val="21"/>
        </w:rPr>
        <w:t>____ B</w:t>
      </w:r>
      <w:r>
        <w:rPr>
          <w:rFonts w:ascii="SimSun" w:eastAsia="SimSun" w:hAnsi="SimSun" w:cs="SimSun"/>
          <w:sz w:val="21"/>
          <w:szCs w:val="21"/>
        </w:rPr>
        <w:t>处：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）小申绘制了学生阅读兴趣登记模块流程，如图所示。其中，“判断提交的选项是否超过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个？”主要实现数据的（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352800" cy="962025"/>
            <wp:docPr id="10008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存储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处理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传输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采集和输入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）小明使用学生阅读兴趣登记模块，提交界面如图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所示。其中，选中项用</w:t>
      </w:r>
      <w:r>
        <w:rPr>
          <w:sz w:val="21"/>
          <w:szCs w:val="21"/>
        </w:rPr>
        <w:t>T</w:t>
      </w:r>
      <w:r>
        <w:rPr>
          <w:rFonts w:ascii="SimSun" w:eastAsia="SimSun" w:hAnsi="SimSun" w:cs="SimSun"/>
          <w:sz w:val="21"/>
          <w:szCs w:val="21"/>
        </w:rPr>
        <w:t>表示，未选中项用</w:t>
      </w:r>
      <w:r>
        <w:rPr>
          <w:sz w:val="21"/>
          <w:szCs w:val="21"/>
        </w:rPr>
        <w:t>F</w:t>
      </w:r>
      <w:r>
        <w:rPr>
          <w:rFonts w:ascii="SimSun" w:eastAsia="SimSun" w:hAnsi="SimSun" w:cs="SimSun"/>
          <w:sz w:val="21"/>
          <w:szCs w:val="21"/>
        </w:rPr>
        <w:t>表示，提交后兴趣字段数据为</w:t>
      </w:r>
      <w:r>
        <w:rPr>
          <w:sz w:val="21"/>
          <w:szCs w:val="21"/>
        </w:rPr>
        <w:t>FTFTTFF</w:t>
      </w:r>
      <w:r>
        <w:rPr>
          <w:rFonts w:ascii="SimSun" w:eastAsia="SimSun" w:hAnsi="SimSun" w:cs="SimSun"/>
          <w:sz w:val="21"/>
          <w:szCs w:val="21"/>
        </w:rPr>
        <w:t>。经查询小达同学的兴趣字段内容为</w:t>
      </w:r>
      <w:r>
        <w:rPr>
          <w:sz w:val="21"/>
          <w:szCs w:val="21"/>
        </w:rPr>
        <w:t>FFFTFFF</w:t>
      </w:r>
      <w:r>
        <w:rPr>
          <w:rFonts w:ascii="SimSun" w:eastAsia="SimSun" w:hAnsi="SimSun" w:cs="SimSun"/>
          <w:sz w:val="21"/>
          <w:szCs w:val="21"/>
        </w:rPr>
        <w:t>，请写出他的兴趣为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85" name="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）小申在使用电子阅览室管理系统一段时间后发现需要增加“航空航天”的兴趣类别，于是做了相应调整。以下表述正确的是（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该调整属于信息系统的优化</w:t>
      </w:r>
      <w:r>
        <w:rPr>
          <w:sz w:val="21"/>
          <w:szCs w:val="21"/>
        </w:rPr>
        <w:t xml:space="preserve">      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只能增加一种兴趣类别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增加类别一定能提高程序运行效率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</w:t>
      </w:r>
      <w:r>
        <w:rPr>
          <w:rFonts w:ascii="SimSun" w:eastAsia="SimSun" w:hAnsi="SimSun" w:cs="SimSun"/>
          <w:sz w:val="21"/>
          <w:szCs w:val="21"/>
        </w:rPr>
        <w:t>调整前需明确具体需求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7</w:t>
      </w:r>
      <w:r>
        <w:rPr>
          <w:rFonts w:ascii="SimSun" w:eastAsia="SimSun" w:hAnsi="SimSun" w:cs="SimSun"/>
          <w:sz w:val="21"/>
          <w:szCs w:val="21"/>
        </w:rPr>
        <w:t>）学生阅读兴趣数据存储在</w:t>
      </w:r>
      <w:r>
        <w:rPr>
          <w:sz w:val="21"/>
          <w:szCs w:val="21"/>
        </w:rPr>
        <w:t>xingqu</w:t>
      </w:r>
      <w:r>
        <w:rPr>
          <w:rFonts w:ascii="SimSun" w:eastAsia="SimSun" w:hAnsi="SimSun" w:cs="SimSun"/>
          <w:sz w:val="21"/>
          <w:szCs w:val="21"/>
        </w:rPr>
        <w:t>数据表中，字段信息如表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所示。现需要把小明的阅读兴趣字段数据“</w:t>
      </w:r>
      <w:r>
        <w:rPr>
          <w:sz w:val="21"/>
          <w:szCs w:val="21"/>
        </w:rPr>
        <w:t>FTFTTFF</w:t>
      </w:r>
      <w:r>
        <w:rPr>
          <w:rFonts w:ascii="SimSun" w:eastAsia="SimSun" w:hAnsi="SimSun" w:cs="SimSun"/>
          <w:sz w:val="21"/>
          <w:szCs w:val="21"/>
        </w:rPr>
        <w:t>”更改为“</w:t>
      </w:r>
      <w:r>
        <w:rPr>
          <w:sz w:val="21"/>
          <w:szCs w:val="21"/>
        </w:rPr>
        <w:t>TFFTFFF</w:t>
      </w:r>
      <w:r>
        <w:rPr>
          <w:rFonts w:ascii="SimSun" w:eastAsia="SimSun" w:hAnsi="SimSun" w:cs="SimSun"/>
          <w:sz w:val="21"/>
          <w:szCs w:val="21"/>
        </w:rPr>
        <w:t>”，修改后的结果如表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所示。请把数据库操作语句补充完整，完成修改操作。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13"/>
        <w:gridCol w:w="692"/>
        <w:gridCol w:w="692"/>
        <w:gridCol w:w="692"/>
        <w:gridCol w:w="1113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XH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XM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BJ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YDXQ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字段含义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班级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阅读兴趣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    </w:t>
      </w:r>
      <w:r>
        <w:rPr>
          <w:rFonts w:ascii="SimSun" w:eastAsia="SimSun" w:hAnsi="SimSun" w:cs="SimSun"/>
          <w:sz w:val="21"/>
          <w:szCs w:val="21"/>
        </w:rPr>
        <w:t>表</w:t>
      </w:r>
      <w:r>
        <w:rPr>
          <w:sz w:val="21"/>
          <w:szCs w:val="21"/>
        </w:rPr>
        <w:t>1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结果示例：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14"/>
        <w:gridCol w:w="692"/>
        <w:gridCol w:w="1114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XH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XM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YDXQ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20220105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小明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TFFTFFF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</w:t>
      </w:r>
      <w:r>
        <w:rPr>
          <w:rFonts w:ascii="SimSun" w:eastAsia="SimSun" w:hAnsi="SimSun" w:cs="SimSun"/>
          <w:sz w:val="21"/>
          <w:szCs w:val="21"/>
        </w:rPr>
        <w:t>表</w:t>
      </w:r>
      <w:r>
        <w:rPr>
          <w:sz w:val="21"/>
          <w:szCs w:val="21"/>
        </w:rPr>
        <w:t>2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228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Update xingqu set YDXQ="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 where XH="20220105"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①：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jc w:val="center"/>
      </w:pPr>
      <w:r>
        <w:rPr>
          <w:rFonts w:ascii="SimSun" w:eastAsia="SimSun" w:hAnsi="SimSun" w:cs="SimSun"/>
          <w:b/>
          <w:bCs/>
        </w:rPr>
        <w:t>综合题四：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SimSun" w:eastAsia="SimSun" w:hAnsi="SimSun" w:cs="SimSun"/>
          <w:sz w:val="21"/>
          <w:szCs w:val="21"/>
        </w:rPr>
        <w:t>小申运用已学知识，帮助老师分析、处理学生体质健康数据。数据中包含了学生的学号、性别、身高（</w:t>
      </w:r>
      <w:r>
        <w:rPr>
          <w:sz w:val="21"/>
          <w:szCs w:val="21"/>
        </w:rPr>
        <w:t>m</w:t>
      </w:r>
      <w:r>
        <w:rPr>
          <w:rFonts w:ascii="SimSun" w:eastAsia="SimSun" w:hAnsi="SimSun" w:cs="SimSun"/>
          <w:sz w:val="21"/>
          <w:szCs w:val="21"/>
        </w:rPr>
        <w:t>）、体重（</w:t>
      </w:r>
      <w:r>
        <w:rPr>
          <w:sz w:val="21"/>
          <w:szCs w:val="21"/>
        </w:rPr>
        <w:t>kg</w:t>
      </w:r>
      <w:r>
        <w:rPr>
          <w:rFonts w:ascii="SimSun" w:eastAsia="SimSun" w:hAnsi="SimSun" w:cs="SimSun"/>
          <w:sz w:val="21"/>
          <w:szCs w:val="21"/>
        </w:rPr>
        <w:t>）、肺活量（</w:t>
      </w:r>
      <w:r>
        <w:rPr>
          <w:sz w:val="21"/>
          <w:szCs w:val="21"/>
        </w:rPr>
        <w:t>ml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）如图所示，小申整理数据时发现学号为</w:t>
      </w:r>
      <w:r>
        <w:rPr>
          <w:sz w:val="21"/>
          <w:szCs w:val="21"/>
        </w:rPr>
        <w:t>230102</w:t>
      </w:r>
      <w:r>
        <w:rPr>
          <w:rFonts w:ascii="SimSun" w:eastAsia="SimSun" w:hAnsi="SimSun" w:cs="SimSun"/>
          <w:sz w:val="21"/>
          <w:szCs w:val="21"/>
        </w:rPr>
        <w:t>学生的身高为</w:t>
      </w:r>
      <w:r>
        <w:rPr>
          <w:sz w:val="21"/>
          <w:szCs w:val="21"/>
        </w:rPr>
        <w:t>16.3</w:t>
      </w:r>
      <w:r>
        <w:rPr>
          <w:rFonts w:ascii="SimSun" w:eastAsia="SimSun" w:hAnsi="SimSun" w:cs="SimSun"/>
          <w:sz w:val="21"/>
          <w:szCs w:val="21"/>
        </w:rPr>
        <w:t>米。这说明数据中存在（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691"/>
        <w:gridCol w:w="1789"/>
        <w:gridCol w:w="691"/>
        <w:gridCol w:w="902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性别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身高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体重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肺活量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230101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女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1.65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2096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230102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女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962025" cy="180975"/>
                  <wp:docPr id="100099" name="" descr="学科网(www.zxxk.com)--教育资源门户，提供试卷、教案、课件、论文、素材以及各类教学资源下载，还有大量而丰富的教学相关资讯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99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49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3034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……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230134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1.76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68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2918</w:t>
            </w: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230135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男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b w:val="0"/>
                <w:bCs w:val="0"/>
                <w:i w:val="0"/>
                <w:iCs w:val="0"/>
                <w:smallCaps w:val="0"/>
                <w:strike w:val="0"/>
                <w:color w:val="000000"/>
                <w:sz w:val="21"/>
                <w:szCs w:val="21"/>
                <w:u w:val="none"/>
              </w:rPr>
              <w:drawing>
                <wp:inline>
                  <wp:extent cx="38100" cy="95250"/>
                  <wp:docPr id="1001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1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81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4530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103" name="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3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</w:t>
      </w:r>
      <w:r>
        <w:rPr>
          <w:rFonts w:ascii="SimSun" w:eastAsia="SimSun" w:hAnsi="SimSun" w:cs="SimSun"/>
          <w:sz w:val="21"/>
          <w:szCs w:val="21"/>
        </w:rPr>
        <w:t>重复值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</w:t>
      </w:r>
      <w:r>
        <w:rPr>
          <w:rFonts w:ascii="SimSun" w:eastAsia="SimSun" w:hAnsi="SimSun" w:cs="SimSun"/>
          <w:sz w:val="21"/>
          <w:szCs w:val="21"/>
        </w:rPr>
        <w:t>缺失值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</w:t>
      </w:r>
      <w:r>
        <w:rPr>
          <w:rFonts w:ascii="SimSun" w:eastAsia="SimSun" w:hAnsi="SimSun" w:cs="SimSun"/>
          <w:sz w:val="21"/>
          <w:szCs w:val="21"/>
        </w:rPr>
        <w:t>异常值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）小申把整理后的数据存储在</w:t>
      </w:r>
      <w:r>
        <w:rPr>
          <w:sz w:val="21"/>
          <w:szCs w:val="21"/>
        </w:rPr>
        <w:t>G11.csv</w:t>
      </w:r>
      <w:r>
        <w:rPr>
          <w:rFonts w:ascii="SimSun" w:eastAsia="SimSun" w:hAnsi="SimSun" w:cs="SimSun"/>
          <w:sz w:val="21"/>
          <w:szCs w:val="21"/>
        </w:rPr>
        <w:t>文件中。在数据分析时使用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第三方库</w:t>
      </w:r>
      <w:r>
        <w:rPr>
          <w:sz w:val="21"/>
          <w:szCs w:val="21"/>
        </w:rPr>
        <w:t>numpy</w:t>
      </w:r>
      <w:r>
        <w:rPr>
          <w:rFonts w:ascii="SimSun" w:eastAsia="SimSun" w:hAnsi="SimSun" w:cs="SimSun"/>
          <w:sz w:val="21"/>
          <w:szCs w:val="21"/>
        </w:rPr>
        <w:t>中的数据统计函数，查看男生肺活量的最小值。以下横线处应填写的内容是（</w:t>
      </w:r>
      <w:r>
        <w:rPr>
          <w:rFonts w:ascii="SimSun" w:eastAsia="SimSun" w:hAnsi="SimSun" w:cs="SimSun"/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198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numpy as np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mypd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mydf=mypd.read_csv("G11.csv",encoding="ANSI")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df=mydf[(mydf['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性别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']=="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男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")]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读取所有男生的数据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print(np.min(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))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A.np["</w:t>
      </w:r>
      <w:r>
        <w:rPr>
          <w:rFonts w:ascii="SimSun" w:eastAsia="SimSun" w:hAnsi="SimSun" w:cs="SimSun"/>
          <w:sz w:val="21"/>
          <w:szCs w:val="21"/>
        </w:rPr>
        <w:t>肺活量</w:t>
      </w:r>
      <w:r>
        <w:rPr>
          <w:sz w:val="21"/>
          <w:szCs w:val="21"/>
        </w:rPr>
        <w:t>"]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B.mypd["</w:t>
      </w:r>
      <w:r>
        <w:rPr>
          <w:rFonts w:ascii="SimSun" w:eastAsia="SimSun" w:hAnsi="SimSun" w:cs="SimSun"/>
          <w:sz w:val="21"/>
          <w:szCs w:val="21"/>
        </w:rPr>
        <w:t>肺活量</w:t>
      </w:r>
      <w:r>
        <w:rPr>
          <w:sz w:val="21"/>
          <w:szCs w:val="21"/>
        </w:rPr>
        <w:t>"]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C.mydf["</w:t>
      </w:r>
      <w:r>
        <w:rPr>
          <w:rFonts w:ascii="SimSun" w:eastAsia="SimSun" w:hAnsi="SimSun" w:cs="SimSun"/>
          <w:sz w:val="21"/>
          <w:szCs w:val="21"/>
        </w:rPr>
        <w:t>肺活量</w:t>
      </w:r>
      <w:r>
        <w:rPr>
          <w:sz w:val="21"/>
          <w:szCs w:val="21"/>
        </w:rPr>
        <w:t>"]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D.df["</w:t>
      </w:r>
      <w:r>
        <w:rPr>
          <w:rFonts w:ascii="SimSun" w:eastAsia="SimSun" w:hAnsi="SimSun" w:cs="SimSun"/>
          <w:sz w:val="21"/>
          <w:szCs w:val="21"/>
        </w:rPr>
        <w:t>肺活量</w:t>
      </w:r>
      <w:r>
        <w:rPr>
          <w:sz w:val="21"/>
          <w:szCs w:val="21"/>
        </w:rPr>
        <w:t>"]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）为了计算每位学生的</w:t>
      </w:r>
      <w:r>
        <w:rPr>
          <w:sz w:val="21"/>
          <w:szCs w:val="21"/>
        </w:rPr>
        <w:t>BMI</w:t>
      </w:r>
      <w:r>
        <w:rPr>
          <w:rFonts w:ascii="SimSun" w:eastAsia="SimSun" w:hAnsi="SimSun" w:cs="SimSun"/>
          <w:sz w:val="21"/>
          <w:szCs w:val="21"/>
        </w:rPr>
        <w:t>指数，小申设计的算法如图所示。请在左侧选择合适的框图，拖至右侧流程图的虚线框内进行组合，将算法设计完整。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267075" cy="2286000"/>
            <wp:docPr id="10011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处：</w:t>
      </w:r>
      <w:r>
        <w:rPr>
          <w:sz w:val="21"/>
          <w:szCs w:val="21"/>
        </w:rPr>
        <w:t>____ B</w:t>
      </w:r>
      <w:r>
        <w:rPr>
          <w:rFonts w:ascii="SimSun" w:eastAsia="SimSun" w:hAnsi="SimSun" w:cs="SimSun"/>
          <w:sz w:val="21"/>
          <w:szCs w:val="21"/>
        </w:rPr>
        <w:t>处：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）为了计算每位学生的</w:t>
      </w:r>
      <w:r>
        <w:rPr>
          <w:sz w:val="21"/>
          <w:szCs w:val="21"/>
        </w:rPr>
        <w:t>BMI</w:t>
      </w:r>
      <w:r>
        <w:rPr>
          <w:rFonts w:ascii="SimSun" w:eastAsia="SimSun" w:hAnsi="SimSun" w:cs="SimSun"/>
          <w:sz w:val="21"/>
          <w:szCs w:val="21"/>
        </w:rPr>
        <w:t>指数，小申编写的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程序如图所示。计算</w:t>
      </w:r>
      <w:r>
        <w:rPr>
          <w:sz w:val="21"/>
          <w:szCs w:val="21"/>
        </w:rPr>
        <w:t>BMI</w:t>
      </w:r>
      <w:r>
        <w:rPr>
          <w:rFonts w:ascii="SimSun" w:eastAsia="SimSun" w:hAnsi="SimSun" w:cs="SimSun"/>
          <w:sz w:val="21"/>
          <w:szCs w:val="21"/>
        </w:rPr>
        <w:t>指数的公示为：</w:t>
      </w:r>
      <w:r>
        <w:rPr>
          <w:sz w:val="21"/>
          <w:szCs w:val="21"/>
        </w:rPr>
        <w:t xml:space="preserve">BMI= </w:t>
      </w:r>
      <w:r>
        <w:rPr>
          <w:strike w:val="0"/>
          <w:sz w:val="21"/>
          <w:szCs w:val="21"/>
          <w:u w:val="none"/>
        </w:rPr>
        <w:drawing>
          <wp:inline>
            <wp:extent cx="752475" cy="419100"/>
            <wp:docPr id="10011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，请将程序填写完整。可以点击图标</w:t>
      </w:r>
      <w:r>
        <w:rPr>
          <w:strike w:val="0"/>
          <w:sz w:val="21"/>
          <w:szCs w:val="21"/>
          <w:u w:val="none"/>
        </w:rPr>
        <w:drawing>
          <wp:inline>
            <wp:extent cx="219075" cy="247650"/>
            <wp:docPr id="10012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进入开发环境，本题提供的环境仅用作算法验证。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81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6401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pandas as pd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d=pd.read_csv("G11.csv",encoding="ANSI")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ht=d["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身高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wt=d["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体重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bmi=[]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for i in range(len(ht)):</w:t>
            </w:r>
          </w:p>
        </w:tc>
      </w:tr>
    </w:tbl>
    <w:p>
      <w:pPr>
        <w:widowControl w:val="0"/>
        <w:spacing w:before="0" w:after="0"/>
        <w:jc w:val="both"/>
        <w:rPr>
          <w:sz w:val="0"/>
          <w:szCs w:val="0"/>
        </w:rPr>
      </w:pPr>
      <w:r>
        <w:rPr>
          <w:strike w:val="0"/>
          <w:sz w:val="0"/>
          <w:szCs w:val="0"/>
          <w:u w:val="none"/>
        </w:rPr>
        <w:drawing>
          <wp:inline>
            <wp:extent cx="28575" cy="28575"/>
            <wp:docPr id="100123" name="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81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6401" w:type="dxa"/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x=round(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/ht[i]**2,2)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#round()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函数，可参看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Python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帮助小贴士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bmi.append(x)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print(bmi)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①：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BMI</w:t>
      </w:r>
      <w:r>
        <w:rPr>
          <w:rFonts w:ascii="SimSun" w:eastAsia="SimSun" w:hAnsi="SimSun" w:cs="SimSun"/>
          <w:sz w:val="21"/>
          <w:szCs w:val="21"/>
        </w:rPr>
        <w:t>指数参考标准如表所示。小申需要编写程序用于统计偏胖的人数。点击图标</w:t>
      </w:r>
      <w:r>
        <w:rPr>
          <w:strike w:val="0"/>
          <w:sz w:val="21"/>
          <w:szCs w:val="21"/>
          <w:u w:val="none"/>
        </w:rPr>
        <w:drawing>
          <wp:inline>
            <wp:extent cx="200025" cy="257175"/>
            <wp:docPr id="10013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进入开发环境，请完善程序，将程序以原文件名保存在默认位置。</w:t>
      </w:r>
    </w:p>
    <w:tbl>
      <w:tblPr>
        <w:tblInd w:w="128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506"/>
        <w:gridCol w:w="8456"/>
        <w:gridCol w:w="76"/>
      </w:tblGrid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描述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WHO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标准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偏瘦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BMI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＜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18.5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正常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18.5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≤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BMI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＜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偏胖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BMI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25</w:t>
            </w:r>
          </w:p>
        </w:tc>
        <w:tc>
          <w:tcPr>
            <w:tcBorders>
              <w:bottom w:val="single" w:sz="6" w:space="0" w:color="000000"/>
            </w:tcBorders>
            <w:noWrap w:val="0"/>
            <w:tcMar>
              <w:top w:w="5" w:type="dxa"/>
              <w:left w:w="5" w:type="dxa"/>
              <w:bottom w:w="8" w:type="dxa"/>
              <w:right w:w="5" w:type="dxa"/>
            </w:tcMar>
            <w:vAlign w:val="top"/>
            <w:hideMark/>
          </w:tcPr>
          <w:p>
            <w:pPr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128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以下设置的变量、数据不能改变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#b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中存储的是全体学生的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BMI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指数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#c2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存储统计偏胖的人数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(&gt;=25)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bmi=[18.37,18.44,22.91,16.33,18.43,19.2,19.53,21.51,17.37,19.2,18.81,18.75,19.63,20.69,19.43,19.33,17.91,21.3,28.08,24.24,24.69,26.15]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c2=0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在以下区域继续完善代码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for x in bmi: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____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以下输出语句，无需修改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print('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偏胖人数：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',c2)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#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根据测试源，判定结果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测试数据结果：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）小申想绘制如图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所示的可视化图表。编写的程序如图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所示，列表</w:t>
      </w:r>
      <w:r>
        <w:rPr>
          <w:sz w:val="21"/>
          <w:szCs w:val="21"/>
        </w:rPr>
        <w:t>tot</w:t>
      </w:r>
      <w:r>
        <w:rPr>
          <w:rFonts w:ascii="SimSun" w:eastAsia="SimSun" w:hAnsi="SimSun" w:cs="SimSun"/>
          <w:sz w:val="21"/>
          <w:szCs w:val="21"/>
        </w:rPr>
        <w:t>中存储的是分类描述对应的汇总人数，请将程序填写完整，可以点击图标</w:t>
      </w:r>
      <w:r>
        <w:rPr>
          <w:strike w:val="0"/>
          <w:sz w:val="21"/>
          <w:szCs w:val="21"/>
          <w:u w:val="none"/>
        </w:rPr>
        <w:drawing>
          <wp:inline>
            <wp:extent cx="228600" cy="266700"/>
            <wp:docPr id="10013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进入开发环境，本题提供的环境仅用作算法验证。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BMI</w:t>
      </w:r>
      <w:r>
        <w:rPr>
          <w:rFonts w:ascii="SimSun" w:eastAsia="SimSun" w:hAnsi="SimSun" w:cs="SimSun"/>
          <w:sz w:val="21"/>
          <w:szCs w:val="21"/>
        </w:rPr>
        <w:t>指数的分类统计柱状图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41" name="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466975" cy="1809750"/>
            <wp:docPr id="10015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1</w:t>
      </w:r>
    </w:p>
    <w:tbl>
      <w:tblPr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5757"/>
      </w:tblGrid>
      <w:tr>
        <w:tblPrEx>
          <w:tblInd w:w="128" w:type="dxa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noWrap w:val="0"/>
            <w:tcMar>
              <w:top w:w="76" w:type="dxa"/>
              <w:left w:w="120" w:type="dxa"/>
              <w:bottom w:w="76" w:type="dxa"/>
              <w:right w:w="120" w:type="dxa"/>
            </w:tcMar>
            <w:vAlign w:val="center"/>
            <w:hideMark/>
          </w:tcPr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import matplotlib.pyplot as plt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plt.rcParams['font.sans-serif']='SimHei'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plt.title("BMI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指数的分类统计柱状图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")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ms=["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偏瘦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","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正常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","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偏胖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"]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tot=[8,25,2]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plt.bar(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，②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u w:val="single" w:color="000000"/>
              </w:rPr>
              <w:t xml:space="preserve">   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) # 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绘制柱状图，可参考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Python</w:t>
            </w:r>
            <w:r>
              <w:rPr>
                <w:rFonts w:ascii="SimSun" w:eastAsia="SimSun" w:hAnsi="SimSun" w:cs="SimSu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帮助小贴士</w:t>
            </w:r>
          </w:p>
          <w:p>
            <w:pPr>
              <w:widowControl w:val="0"/>
              <w:spacing w:before="0" w:after="0" w:line="360" w:lineRule="auto"/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plt.show()</w:t>
            </w:r>
          </w:p>
        </w:tc>
      </w:tr>
    </w:tbl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2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①：</w:t>
      </w:r>
      <w:r>
        <w:rPr>
          <w:sz w:val="21"/>
          <w:szCs w:val="21"/>
        </w:rPr>
        <w:t xml:space="preserve">____ </w:t>
      </w:r>
      <w:r>
        <w:rPr>
          <w:rFonts w:ascii="SimSun" w:eastAsia="SimSun" w:hAnsi="SimSun" w:cs="SimSun"/>
          <w:sz w:val="21"/>
          <w:szCs w:val="21"/>
        </w:rPr>
        <w:t>②：</w:t>
      </w:r>
      <w:r>
        <w:rPr>
          <w:sz w:val="21"/>
          <w:szCs w:val="21"/>
        </w:rPr>
        <w:t>____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57" name="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32"/>
      <w:type w:val="continuous"/>
      <w:pgSz w:w="11927" w:h="16875"/>
      <w:pgMar w:top="800" w:right="1120" w:bottom="540" w:left="11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0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2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2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2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2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4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4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4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5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6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6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6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09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09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9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9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1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1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1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2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3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3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3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723900" cy="295275"/>
          <wp:docPr id="1001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733425" cy="295275"/>
          <wp:docPr id="10014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73342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5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5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10.png" /><Relationship Id="rId11" Type="http://schemas.openxmlformats.org/officeDocument/2006/relationships/header" Target="header2.xml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header" Target="header3.xml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" Type="http://schemas.openxmlformats.org/officeDocument/2006/relationships/webSettings" Target="webSettings.xml" /><Relationship Id="rId20" Type="http://schemas.openxmlformats.org/officeDocument/2006/relationships/header" Target="header4.xml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header" Target="header5.xml" /><Relationship Id="rId24" Type="http://schemas.openxmlformats.org/officeDocument/2006/relationships/image" Target="media/image20.png" /><Relationship Id="rId25" Type="http://schemas.openxmlformats.org/officeDocument/2006/relationships/image" Target="media/image21.png" /><Relationship Id="rId26" Type="http://schemas.openxmlformats.org/officeDocument/2006/relationships/image" Target="media/image22.png" /><Relationship Id="rId27" Type="http://schemas.openxmlformats.org/officeDocument/2006/relationships/header" Target="header6.xml" /><Relationship Id="rId28" Type="http://schemas.openxmlformats.org/officeDocument/2006/relationships/image" Target="media/image23.png" /><Relationship Id="rId29" Type="http://schemas.openxmlformats.org/officeDocument/2006/relationships/image" Target="media/image24.png" /><Relationship Id="rId3" Type="http://schemas.openxmlformats.org/officeDocument/2006/relationships/fontTable" Target="fontTable.xml" /><Relationship Id="rId30" Type="http://schemas.openxmlformats.org/officeDocument/2006/relationships/header" Target="header7.xml" /><Relationship Id="rId31" Type="http://schemas.openxmlformats.org/officeDocument/2006/relationships/image" Target="media/image25.png" /><Relationship Id="rId32" Type="http://schemas.openxmlformats.org/officeDocument/2006/relationships/header" Target="header8.xml" /><Relationship Id="rId33" Type="http://schemas.openxmlformats.org/officeDocument/2006/relationships/theme" Target="theme/theme1.xml" /><Relationship Id="rId34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image" Target="media/image9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7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_rels/header8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Relationship Id="rId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