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18F139AC">
      <w:pPr>
        <w:rPr>
          <w:rFonts w:hint="eastAsia"/>
          <w:lang w:val="en-US" w:eastAsia="zh-CN"/>
        </w:rPr>
      </w:pPr>
      <w:r>
        <w:rPr>
          <w:rFonts w:hint="eastAsia"/>
          <w:color w:val="FF0000"/>
          <w:lang w:val="en-US" w:eastAsia="zh-CN"/>
        </w:rPr>
        <w:t>接口层</w:t>
      </w:r>
      <w:r>
        <w:rPr>
          <w:rFonts w:hint="eastAsia"/>
          <w:lang w:val="en-US" w:eastAsia="zh-CN"/>
        </w:rPr>
        <w:t>：负责监视数据在主机和网络之间的交换</w:t>
      </w:r>
    </w:p>
    <w:p w14:paraId="18A2F982">
      <w:pPr>
        <w:rPr>
          <w:rFonts w:hint="eastAsia"/>
          <w:lang w:val="en-US" w:eastAsia="zh-CN"/>
        </w:rPr>
      </w:pPr>
      <w:r>
        <w:rPr>
          <w:rFonts w:hint="eastAsia"/>
          <w:color w:val="FF0000"/>
          <w:lang w:val="en-US" w:eastAsia="zh-CN"/>
        </w:rPr>
        <w:t>网际层（网络层）</w:t>
      </w:r>
      <w:r>
        <w:rPr>
          <w:rFonts w:hint="eastAsia"/>
          <w:lang w:val="en-US" w:eastAsia="zh-CN"/>
        </w:rPr>
        <w:t>：负责为分组交换网上的不同主机提供通信服务。在发送数据时，网际层把传输层产生的报文段或用户数据报封装成分组或包</w:t>
      </w:r>
    </w:p>
    <w:p w14:paraId="0BD5BBFE">
      <w:pPr>
        <w:rPr>
          <w:rFonts w:hint="eastAsia"/>
          <w:lang w:val="en-US" w:eastAsia="zh-CN"/>
        </w:rPr>
      </w:pPr>
      <w:r>
        <w:rPr>
          <w:rFonts w:hint="eastAsia"/>
          <w:color w:val="FF0000"/>
          <w:lang w:val="en-US" w:eastAsia="zh-CN"/>
        </w:rPr>
        <w:t>传输层</w:t>
      </w:r>
      <w:r>
        <w:rPr>
          <w:rFonts w:hint="eastAsia"/>
          <w:lang w:val="en-US" w:eastAsia="zh-CN"/>
        </w:rPr>
        <w:t>：负责为应用进程之间提供端到端的逻辑通信，保证数据包的顺序传送及数据的完整性</w:t>
      </w:r>
    </w:p>
    <w:p w14:paraId="0E25816C">
      <w:pPr>
        <w:rPr>
          <w:rFonts w:hint="default"/>
          <w:lang w:val="en-US" w:eastAsia="zh-CN"/>
        </w:rPr>
      </w:pPr>
      <w:r>
        <w:rPr>
          <w:rFonts w:hint="eastAsia"/>
          <w:color w:val="FF0000"/>
          <w:lang w:val="en-US" w:eastAsia="zh-CN"/>
        </w:rPr>
        <w:t>应用层</w:t>
      </w:r>
      <w:r>
        <w:rPr>
          <w:rFonts w:hint="eastAsia"/>
          <w:lang w:val="en-US" w:eastAsia="zh-CN"/>
        </w:rPr>
        <w:t>：通过应用进程之间的交互来完成特定网络应用，为用户提供所需要的各种服务</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8"/>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9"/>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9"/>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ilvl w:val="0"/>
          <w:numId w:val="0"/>
        </w:numPr>
        <w:rPr>
          <w:rFonts w:hint="default"/>
          <w:lang w:val="en-US" w:eastAsia="zh-CN"/>
        </w:rPr>
      </w:pP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3DDB4964">
      <w:pPr>
        <w:numPr>
          <w:ilvl w:val="0"/>
          <w:numId w:val="23"/>
        </w:numPr>
        <w:bidi w:val="0"/>
        <w:ind w:left="0" w:leftChars="0" w:firstLine="400" w:firstLineChars="0"/>
        <w:rPr>
          <w:rFonts w:hint="default"/>
          <w:lang w:val="en-US" w:eastAsia="zh-CN"/>
        </w:rPr>
      </w:pPr>
      <w:r>
        <w:rPr>
          <w:rFonts w:hint="default"/>
          <w:color w:val="FF0000"/>
          <w:lang w:val="en-US" w:eastAsia="zh-CN"/>
        </w:rPr>
        <w:t>应用层</w:t>
      </w:r>
      <w:r>
        <w:rPr>
          <w:rFonts w:hint="default"/>
          <w:lang w:val="en-US" w:eastAsia="zh-CN"/>
        </w:rPr>
        <w:t>：</w:t>
      </w:r>
      <w:r>
        <w:rPr>
          <w:rFonts w:hint="eastAsia"/>
          <w:lang w:val="en-US" w:eastAsia="zh-CN"/>
        </w:rPr>
        <w:t>用户接口，处理SQL</w:t>
      </w:r>
    </w:p>
    <w:p w14:paraId="4FD213E8">
      <w:pPr>
        <w:numPr>
          <w:ilvl w:val="0"/>
          <w:numId w:val="23"/>
        </w:numPr>
        <w:bidi w:val="0"/>
        <w:ind w:left="0" w:leftChars="0" w:firstLine="400" w:firstLineChars="0"/>
        <w:rPr>
          <w:rFonts w:hint="default"/>
          <w:lang w:val="en-US" w:eastAsia="zh-CN"/>
        </w:rPr>
      </w:pPr>
      <w:r>
        <w:rPr>
          <w:rFonts w:hint="default"/>
          <w:color w:val="FF0000"/>
          <w:lang w:val="en-US" w:eastAsia="zh-CN"/>
        </w:rPr>
        <w:t>语言处理层</w:t>
      </w:r>
      <w:r>
        <w:rPr>
          <w:rFonts w:hint="default"/>
          <w:lang w:val="en-US" w:eastAsia="zh-CN"/>
        </w:rPr>
        <w:t>：</w:t>
      </w:r>
      <w:r>
        <w:rPr>
          <w:rFonts w:hint="eastAsia"/>
          <w:lang w:val="en-US" w:eastAsia="zh-CN"/>
        </w:rPr>
        <w:t>解析SQL，检查语法或权限，自动优化语句</w:t>
      </w:r>
    </w:p>
    <w:p w14:paraId="3D0CF084">
      <w:pPr>
        <w:numPr>
          <w:ilvl w:val="0"/>
          <w:numId w:val="23"/>
        </w:numPr>
        <w:bidi w:val="0"/>
        <w:ind w:left="0" w:leftChars="0" w:firstLine="400" w:firstLineChars="0"/>
        <w:rPr>
          <w:rFonts w:hint="default"/>
          <w:lang w:val="en-US" w:eastAsia="zh-CN"/>
        </w:rPr>
      </w:pPr>
      <w:r>
        <w:rPr>
          <w:rFonts w:hint="default"/>
          <w:color w:val="FF0000"/>
          <w:lang w:val="en-US" w:eastAsia="zh-CN"/>
        </w:rPr>
        <w:t>数据存取层</w:t>
      </w:r>
      <w:r>
        <w:rPr>
          <w:rFonts w:hint="default"/>
          <w:lang w:val="en-US" w:eastAsia="zh-CN"/>
        </w:rPr>
        <w:t>：</w:t>
      </w:r>
      <w:r>
        <w:rPr>
          <w:rFonts w:hint="eastAsia"/>
          <w:lang w:val="en-US" w:eastAsia="zh-CN"/>
        </w:rPr>
        <w:t>执行物理数据操作（读/写记录），管理事务、锁、缓存。</w:t>
      </w:r>
    </w:p>
    <w:p w14:paraId="3300F77E">
      <w:pPr>
        <w:numPr>
          <w:ilvl w:val="0"/>
          <w:numId w:val="23"/>
        </w:numPr>
        <w:bidi w:val="0"/>
        <w:ind w:left="0" w:leftChars="0" w:firstLine="400" w:firstLineChars="0"/>
        <w:rPr>
          <w:rFonts w:hint="default"/>
          <w:lang w:val="en-US" w:eastAsia="zh-CN"/>
        </w:rPr>
      </w:pPr>
      <w:r>
        <w:rPr>
          <w:rFonts w:hint="default"/>
          <w:color w:val="FF0000"/>
          <w:lang w:val="en-US" w:eastAsia="zh-CN"/>
        </w:rPr>
        <w:t>数据存储层</w:t>
      </w:r>
      <w:r>
        <w:rPr>
          <w:rFonts w:hint="default"/>
          <w:lang w:val="en-US" w:eastAsia="zh-CN"/>
        </w:rPr>
        <w:t>：</w:t>
      </w:r>
      <w:r>
        <w:rPr>
          <w:rFonts w:hint="eastAsia"/>
          <w:lang w:val="en-US" w:eastAsia="zh-CN"/>
        </w:rPr>
        <w:t>物理存储管理（文件、索引、数据恢复、元数据</w:t>
      </w:r>
      <w:bookmarkStart w:id="0" w:name="_GoBack"/>
      <w:bookmarkEnd w:id="0"/>
      <w:r>
        <w:rPr>
          <w:rFonts w:hint="eastAsia"/>
          <w:lang w:val="en-US" w:eastAsia="zh-CN"/>
        </w:rPr>
        <w:t>）。</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w:t>
      </w:r>
    </w:p>
    <w:p w14:paraId="213913F8">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037F1BC">
      <w:pPr>
        <w:pStyle w:val="3"/>
        <w:bidi w:val="0"/>
        <w:rPr>
          <w:rFonts w:hint="eastAsia"/>
          <w:lang w:val="en-US" w:eastAsia="zh-CN"/>
        </w:rPr>
      </w:pPr>
      <w:r>
        <w:rPr>
          <w:rFonts w:hint="eastAsia"/>
          <w:lang w:val="en-US" w:eastAsia="zh-CN"/>
        </w:rPr>
        <w:t>采样，量化，编码</w:t>
      </w:r>
    </w:p>
    <w:p w14:paraId="773FA3C0">
      <w:pPr>
        <w:rPr>
          <w:rFonts w:hint="eastAsia"/>
          <w:lang w:val="en-US" w:eastAsia="zh-CN"/>
        </w:rPr>
      </w:pPr>
      <w:r>
        <w:rPr>
          <w:rFonts w:hint="eastAsia"/>
          <w:lang w:val="en-US" w:eastAsia="zh-CN"/>
        </w:rPr>
        <w:t>采样：按时间间隔抓取信号的幅度值</w:t>
      </w:r>
    </w:p>
    <w:p w14:paraId="37345707">
      <w:pPr>
        <w:rPr>
          <w:rFonts w:hint="eastAsia"/>
          <w:lang w:val="en-US" w:eastAsia="zh-CN"/>
        </w:rPr>
      </w:pPr>
      <w:r>
        <w:rPr>
          <w:rFonts w:hint="eastAsia"/>
          <w:lang w:val="en-US" w:eastAsia="zh-CN"/>
        </w:rPr>
        <w:t>量化：将幅度四舍五入到预设等级</w:t>
      </w:r>
    </w:p>
    <w:p w14:paraId="1C613747">
      <w:pPr>
        <w:rPr>
          <w:rFonts w:hint="eastAsia"/>
          <w:lang w:val="en-US" w:eastAsia="zh-CN"/>
        </w:rPr>
      </w:pPr>
      <w:r>
        <w:rPr>
          <w:rFonts w:hint="eastAsia"/>
          <w:lang w:val="en-US" w:eastAsia="zh-CN"/>
        </w:rPr>
        <w:t>编码：将量化后的值转换为二进制数</w:t>
      </w:r>
    </w:p>
    <w:p w14:paraId="2CB3B522">
      <w:pPr>
        <w:rPr>
          <w:rFonts w:hint="eastAsia"/>
          <w:lang w:val="en-US" w:eastAsia="zh-CN"/>
        </w:rPr>
      </w:pPr>
    </w:p>
    <w:p w14:paraId="396F7C91">
      <w:pPr>
        <w:pStyle w:val="3"/>
        <w:bidi w:val="0"/>
        <w:rPr>
          <w:rFonts w:hint="eastAsia"/>
          <w:lang w:val="en-US" w:eastAsia="zh-CN"/>
        </w:rPr>
      </w:pPr>
      <w:r>
        <w:rPr>
          <w:rFonts w:hint="default"/>
          <w:lang w:val="en-US" w:eastAsia="zh-CN"/>
        </w:rPr>
        <w:t>具备信息社会责任的学生主要表现为：</w:t>
      </w:r>
    </w:p>
    <w:p w14:paraId="4C249986">
      <w:pPr>
        <w:numPr>
          <w:ilvl w:val="0"/>
          <w:numId w:val="23"/>
        </w:numPr>
        <w:bidi w:val="0"/>
        <w:ind w:left="0" w:leftChars="0" w:firstLine="400" w:firstLineChars="0"/>
        <w:rPr>
          <w:rFonts w:hint="eastAsia"/>
          <w:lang w:val="en-US" w:eastAsia="zh-CN"/>
        </w:rPr>
      </w:pPr>
      <w:r>
        <w:rPr>
          <w:rFonts w:hint="default"/>
          <w:color w:val="FF0000"/>
          <w:lang w:val="en-US" w:eastAsia="zh-CN"/>
        </w:rPr>
        <w:t>遵守规则</w:t>
      </w:r>
      <w:r>
        <w:rPr>
          <w:rFonts w:hint="default"/>
          <w:lang w:val="en-US" w:eastAsia="zh-CN"/>
        </w:rPr>
        <w:t>：遵守信息法律法规和伦理道德 </w:t>
      </w:r>
    </w:p>
    <w:p w14:paraId="385FB060">
      <w:pPr>
        <w:numPr>
          <w:ilvl w:val="0"/>
          <w:numId w:val="23"/>
        </w:numPr>
        <w:bidi w:val="0"/>
        <w:ind w:left="0" w:leftChars="0" w:firstLine="400" w:firstLineChars="0"/>
        <w:rPr>
          <w:rFonts w:hint="eastAsia"/>
          <w:lang w:val="en-US" w:eastAsia="zh-CN"/>
        </w:rPr>
      </w:pPr>
      <w:r>
        <w:rPr>
          <w:rFonts w:hint="default"/>
          <w:color w:val="FF0000"/>
          <w:lang w:val="en-US" w:eastAsia="zh-CN"/>
        </w:rPr>
        <w:t>安全保护</w:t>
      </w:r>
      <w:r>
        <w:rPr>
          <w:rFonts w:hint="default"/>
          <w:lang w:val="en-US" w:eastAsia="zh-CN"/>
        </w:rPr>
        <w:t>：主动保护个人信息及他人隐私，具备信息安全能力 </w:t>
      </w:r>
    </w:p>
    <w:p w14:paraId="70811080">
      <w:pPr>
        <w:numPr>
          <w:ilvl w:val="0"/>
          <w:numId w:val="23"/>
        </w:numPr>
        <w:bidi w:val="0"/>
        <w:ind w:left="0" w:leftChars="0" w:firstLine="400" w:firstLineChars="0"/>
        <w:rPr>
          <w:rFonts w:hint="eastAsia"/>
          <w:lang w:val="en-US" w:eastAsia="zh-CN"/>
        </w:rPr>
      </w:pPr>
      <w:r>
        <w:rPr>
          <w:rFonts w:hint="default"/>
          <w:color w:val="FF0000"/>
          <w:lang w:val="en-US" w:eastAsia="zh-CN"/>
        </w:rPr>
        <w:t>维护权益</w:t>
      </w:r>
      <w:r>
        <w:rPr>
          <w:rFonts w:hint="default"/>
          <w:lang w:val="en-US" w:eastAsia="zh-CN"/>
        </w:rPr>
        <w:t>：在虚拟/现实中维护自身和他人合法权益 </w:t>
      </w:r>
    </w:p>
    <w:p w14:paraId="09420D5A">
      <w:pPr>
        <w:numPr>
          <w:ilvl w:val="0"/>
          <w:numId w:val="23"/>
        </w:numPr>
        <w:bidi w:val="0"/>
        <w:ind w:left="0" w:leftChars="0" w:firstLine="400" w:firstLineChars="0"/>
        <w:rPr>
          <w:rFonts w:hint="eastAsia"/>
          <w:lang w:val="en-US" w:eastAsia="zh-CN"/>
        </w:rPr>
      </w:pPr>
      <w:r>
        <w:rPr>
          <w:rFonts w:hint="default"/>
          <w:color w:val="FF0000"/>
          <w:lang w:val="en-US" w:eastAsia="zh-CN"/>
        </w:rPr>
        <w:t>理性判断</w:t>
      </w:r>
      <w:r>
        <w:rPr>
          <w:rFonts w:hint="default"/>
          <w:lang w:val="en-US" w:eastAsia="zh-CN"/>
        </w:rPr>
        <w:t>：抵制不良信息行为，对新技术、文化现象理性分析 </w:t>
      </w:r>
    </w:p>
    <w:p w14:paraId="7CCCA921">
      <w:pPr>
        <w:numPr>
          <w:ilvl w:val="0"/>
          <w:numId w:val="23"/>
        </w:numPr>
        <w:bidi w:val="0"/>
        <w:ind w:left="0" w:leftChars="0" w:firstLine="400" w:firstLineChars="0"/>
        <w:rPr>
          <w:rFonts w:hint="eastAsia"/>
          <w:lang w:val="en-US" w:eastAsia="zh-CN"/>
        </w:rPr>
      </w:pPr>
      <w:r>
        <w:rPr>
          <w:rFonts w:hint="default"/>
          <w:color w:val="FF0000"/>
          <w:lang w:val="en-US" w:eastAsia="zh-CN"/>
        </w:rPr>
        <w:t>参与建设</w:t>
      </w:r>
      <w:r>
        <w:rPr>
          <w:rFonts w:hint="default"/>
          <w:lang w:val="en-US" w:eastAsia="zh-CN"/>
        </w:rPr>
        <w:t>：积极学习信息技术，关注其对社会的影响 </w:t>
      </w:r>
    </w:p>
    <w:p w14:paraId="100D3A14">
      <w:pPr>
        <w:pStyle w:val="3"/>
        <w:bidi w:val="0"/>
        <w:rPr>
          <w:rFonts w:hint="eastAsia"/>
          <w:lang w:val="en-US" w:eastAsia="zh-CN"/>
        </w:rPr>
      </w:pPr>
      <w:r>
        <w:rPr>
          <w:rFonts w:hint="eastAsia"/>
          <w:lang w:val="en-US" w:eastAsia="zh-CN"/>
        </w:rPr>
        <w:t>评价表在课堂教学中的作用</w:t>
      </w:r>
    </w:p>
    <w:p w14:paraId="7358879C">
      <w:pPr>
        <w:numPr>
          <w:ilvl w:val="0"/>
          <w:numId w:val="24"/>
        </w:numPr>
        <w:ind w:left="0" w:leftChars="0" w:firstLine="400" w:firstLineChars="0"/>
        <w:rPr>
          <w:rFonts w:hint="default"/>
          <w:lang w:val="en-US" w:eastAsia="zh-CN"/>
        </w:rPr>
      </w:pPr>
      <w:r>
        <w:rPr>
          <w:rFonts w:hint="eastAsia"/>
          <w:lang w:val="en-US" w:eastAsia="zh-CN"/>
        </w:rPr>
        <w:t>对每个项目进行评价，起到导向与激励学生作用</w:t>
      </w:r>
    </w:p>
    <w:p w14:paraId="3E5371E1">
      <w:pPr>
        <w:numPr>
          <w:ilvl w:val="0"/>
          <w:numId w:val="24"/>
        </w:numPr>
        <w:ind w:left="0" w:leftChars="0" w:firstLine="400" w:firstLineChars="0"/>
        <w:rPr>
          <w:rFonts w:hint="default"/>
          <w:lang w:val="en-US" w:eastAsia="zh-CN"/>
        </w:rPr>
      </w:pPr>
      <w:r>
        <w:rPr>
          <w:rFonts w:hint="eastAsia"/>
          <w:lang w:val="en-US" w:eastAsia="zh-CN"/>
        </w:rPr>
        <w:t>采用多元化评价方式，结果更客观</w:t>
      </w:r>
    </w:p>
    <w:p w14:paraId="6E6A62C6">
      <w:pPr>
        <w:numPr>
          <w:ilvl w:val="0"/>
          <w:numId w:val="24"/>
        </w:numPr>
        <w:ind w:left="0" w:leftChars="0" w:firstLine="400" w:firstLineChars="0"/>
        <w:rPr>
          <w:rFonts w:hint="default"/>
          <w:lang w:val="en-US" w:eastAsia="zh-CN"/>
        </w:rPr>
      </w:pPr>
      <w:r>
        <w:rPr>
          <w:rFonts w:hint="eastAsia"/>
          <w:lang w:val="en-US" w:eastAsia="zh-CN"/>
        </w:rPr>
        <w:t>量规表格的形式，具有可操作性、信度高、主客观相结合</w:t>
      </w:r>
    </w:p>
    <w:p w14:paraId="09588857">
      <w:pPr>
        <w:numPr>
          <w:ilvl w:val="0"/>
          <w:numId w:val="24"/>
        </w:numPr>
        <w:ind w:left="0" w:leftChars="0" w:firstLine="400" w:firstLineChars="0"/>
        <w:rPr>
          <w:rFonts w:hint="default"/>
          <w:lang w:val="en-US" w:eastAsia="zh-CN"/>
        </w:rPr>
      </w:pPr>
      <w:r>
        <w:rPr>
          <w:rFonts w:hint="eastAsia"/>
          <w:lang w:val="en-US" w:eastAsia="zh-CN"/>
        </w:rPr>
        <w:t>学生从中获取创作思路，充分调动学生积极性</w:t>
      </w:r>
    </w:p>
    <w:p w14:paraId="38ECD737">
      <w:pPr>
        <w:pStyle w:val="3"/>
        <w:bidi w:val="0"/>
        <w:rPr>
          <w:rFonts w:hint="default"/>
          <w:lang w:val="en-US" w:eastAsia="zh-CN"/>
        </w:rPr>
      </w:pPr>
      <w:r>
        <w:rPr>
          <w:rFonts w:hint="eastAsia"/>
          <w:lang w:val="en-US" w:eastAsia="zh-CN"/>
        </w:rPr>
        <w:t>图层</w:t>
      </w:r>
    </w:p>
    <w:p w14:paraId="71593039">
      <w:pPr>
        <w:bidi w:val="0"/>
      </w:pPr>
      <w:r>
        <w:rPr>
          <w:rFonts w:hint="eastAsia"/>
          <w:lang w:val="en-US" w:eastAsia="zh-CN"/>
        </w:rPr>
        <w:t>图层样式——</w:t>
      </w:r>
      <w:r>
        <w:drawing>
          <wp:inline distT="0" distB="0" distL="114300" distR="114300">
            <wp:extent cx="219075" cy="22860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219075" cy="228600"/>
                    </a:xfrm>
                    <a:prstGeom prst="rect">
                      <a:avLst/>
                    </a:prstGeom>
                    <a:noFill/>
                    <a:ln>
                      <a:noFill/>
                    </a:ln>
                  </pic:spPr>
                </pic:pic>
              </a:graphicData>
            </a:graphic>
          </wp:inline>
        </w:drawing>
      </w:r>
    </w:p>
    <w:p w14:paraId="49782380">
      <w:pPr>
        <w:bidi w:val="0"/>
      </w:pPr>
      <w:r>
        <w:rPr>
          <w:rFonts w:hint="eastAsia"/>
          <w:lang w:val="en-US" w:eastAsia="zh-CN"/>
        </w:rPr>
        <w:t>图层蒙版——</w:t>
      </w:r>
      <w:r>
        <w:drawing>
          <wp:inline distT="0" distB="0" distL="114300" distR="114300">
            <wp:extent cx="171450" cy="2286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171450" cy="228600"/>
                    </a:xfrm>
                    <a:prstGeom prst="rect">
                      <a:avLst/>
                    </a:prstGeom>
                    <a:noFill/>
                    <a:ln>
                      <a:noFill/>
                    </a:ln>
                  </pic:spPr>
                </pic:pic>
              </a:graphicData>
            </a:graphic>
          </wp:inline>
        </w:drawing>
      </w:r>
    </w:p>
    <w:p w14:paraId="07EDF866">
      <w:pPr>
        <w:bidi w:val="0"/>
      </w:pPr>
      <w:r>
        <w:rPr>
          <w:rFonts w:hint="eastAsia"/>
          <w:lang w:val="en-US" w:eastAsia="zh-CN"/>
        </w:rPr>
        <w:t>图层填充——</w:t>
      </w:r>
      <w:r>
        <w:drawing>
          <wp:inline distT="0" distB="0" distL="114300" distR="114300">
            <wp:extent cx="323850" cy="28575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23850" cy="285750"/>
                    </a:xfrm>
                    <a:prstGeom prst="rect">
                      <a:avLst/>
                    </a:prstGeom>
                    <a:noFill/>
                    <a:ln>
                      <a:noFill/>
                    </a:ln>
                  </pic:spPr>
                </pic:pic>
              </a:graphicData>
            </a:graphic>
          </wp:inline>
        </w:drawing>
      </w:r>
    </w:p>
    <w:p w14:paraId="69CD6B9E">
      <w:pPr>
        <w:bidi w:val="0"/>
        <w:rPr>
          <w:rFonts w:hint="default"/>
          <w:lang w:val="en-US" w:eastAsia="zh-CN"/>
        </w:rPr>
      </w:pPr>
      <w:r>
        <w:rPr>
          <w:rFonts w:hint="eastAsia"/>
          <w:lang w:val="en-US" w:eastAsia="zh-CN"/>
        </w:rPr>
        <w:t>图层调整——</w:t>
      </w:r>
      <w:r>
        <w:drawing>
          <wp:inline distT="0" distB="0" distL="114300" distR="114300">
            <wp:extent cx="276225" cy="285750"/>
            <wp:effectExtent l="0" t="0" r="952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276225" cy="285750"/>
                    </a:xfrm>
                    <a:prstGeom prst="rect">
                      <a:avLst/>
                    </a:prstGeom>
                    <a:noFill/>
                    <a:ln>
                      <a:noFill/>
                    </a:ln>
                  </pic:spPr>
                </pic:pic>
              </a:graphicData>
            </a:graphic>
          </wp:inline>
        </w:drawing>
      </w:r>
    </w:p>
    <w:p w14:paraId="690AD5C7">
      <w:pPr>
        <w:pStyle w:val="3"/>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522F8"/>
    <w:multiLevelType w:val="singleLevel"/>
    <w:tmpl w:val="8C3522F8"/>
    <w:lvl w:ilvl="0" w:tentative="0">
      <w:start w:val="1"/>
      <w:numFmt w:val="decimalEnclosedCircleChinese"/>
      <w:suff w:val="nothing"/>
      <w:lvlText w:val="%1　"/>
      <w:lvlJc w:val="left"/>
      <w:pPr>
        <w:ind w:left="0" w:firstLine="400"/>
      </w:pPr>
      <w:rPr>
        <w:rFonts w:hint="eastAsia"/>
      </w:rPr>
    </w:lvl>
  </w:abstractNum>
  <w:abstractNum w:abstractNumId="1">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2">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3">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4">
    <w:nsid w:val="DDD7859C"/>
    <w:multiLevelType w:val="singleLevel"/>
    <w:tmpl w:val="DDD7859C"/>
    <w:lvl w:ilvl="0" w:tentative="0">
      <w:start w:val="2"/>
      <w:numFmt w:val="decimal"/>
      <w:suff w:val="nothing"/>
      <w:lvlText w:val="（%1）"/>
      <w:lvlJc w:val="left"/>
    </w:lvl>
  </w:abstractNum>
  <w:abstractNum w:abstractNumId="5">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6">
    <w:nsid w:val="17A280F3"/>
    <w:multiLevelType w:val="singleLevel"/>
    <w:tmpl w:val="17A280F3"/>
    <w:lvl w:ilvl="0" w:tentative="0">
      <w:start w:val="1"/>
      <w:numFmt w:val="decimal"/>
      <w:lvlText w:val="%1."/>
      <w:lvlJc w:val="left"/>
      <w:pPr>
        <w:tabs>
          <w:tab w:val="left" w:pos="312"/>
        </w:tabs>
      </w:pPr>
    </w:lvl>
  </w:abstractNum>
  <w:abstractNum w:abstractNumId="7">
    <w:nsid w:val="1B954DC1"/>
    <w:multiLevelType w:val="singleLevel"/>
    <w:tmpl w:val="1B954DC1"/>
    <w:lvl w:ilvl="0" w:tentative="0">
      <w:start w:val="21"/>
      <w:numFmt w:val="decimal"/>
      <w:lvlText w:val="%1."/>
      <w:lvlJc w:val="left"/>
      <w:pPr>
        <w:tabs>
          <w:tab w:val="left" w:pos="312"/>
        </w:tabs>
      </w:pPr>
    </w:lvl>
  </w:abstractNum>
  <w:abstractNum w:abstractNumId="8">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10">
    <w:nsid w:val="2A459460"/>
    <w:multiLevelType w:val="singleLevel"/>
    <w:tmpl w:val="2A459460"/>
    <w:lvl w:ilvl="0" w:tentative="0">
      <w:start w:val="1"/>
      <w:numFmt w:val="decimal"/>
      <w:lvlText w:val="%1."/>
      <w:lvlJc w:val="left"/>
      <w:pPr>
        <w:tabs>
          <w:tab w:val="left" w:pos="312"/>
        </w:tabs>
      </w:pPr>
    </w:lvl>
  </w:abstractNum>
  <w:abstractNum w:abstractNumId="11">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2">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3">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5">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9BC78F3"/>
    <w:multiLevelType w:val="singleLevel"/>
    <w:tmpl w:val="49BC78F3"/>
    <w:lvl w:ilvl="0" w:tentative="0">
      <w:start w:val="1"/>
      <w:numFmt w:val="decimal"/>
      <w:lvlText w:val="%1."/>
      <w:lvlJc w:val="left"/>
      <w:pPr>
        <w:tabs>
          <w:tab w:val="left" w:pos="312"/>
        </w:tabs>
      </w:pPr>
    </w:lvl>
  </w:abstractNum>
  <w:abstractNum w:abstractNumId="17">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546E0DE8"/>
    <w:multiLevelType w:val="singleLevel"/>
    <w:tmpl w:val="546E0DE8"/>
    <w:lvl w:ilvl="0" w:tentative="0">
      <w:start w:val="1"/>
      <w:numFmt w:val="decimal"/>
      <w:lvlText w:val="(%1)"/>
      <w:lvlJc w:val="left"/>
      <w:pPr>
        <w:tabs>
          <w:tab w:val="left" w:pos="312"/>
        </w:tabs>
      </w:pPr>
    </w:lvl>
  </w:abstractNum>
  <w:abstractNum w:abstractNumId="19">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20">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1">
    <w:nsid w:val="6442345E"/>
    <w:multiLevelType w:val="singleLevel"/>
    <w:tmpl w:val="6442345E"/>
    <w:lvl w:ilvl="0" w:tentative="0">
      <w:start w:val="9"/>
      <w:numFmt w:val="decimal"/>
      <w:lvlText w:val="%1."/>
      <w:lvlJc w:val="left"/>
      <w:pPr>
        <w:tabs>
          <w:tab w:val="left" w:pos="312"/>
        </w:tabs>
      </w:pPr>
    </w:lvl>
  </w:abstractNum>
  <w:abstractNum w:abstractNumId="22">
    <w:nsid w:val="69B7ED26"/>
    <w:multiLevelType w:val="singleLevel"/>
    <w:tmpl w:val="69B7ED26"/>
    <w:lvl w:ilvl="0" w:tentative="0">
      <w:start w:val="1"/>
      <w:numFmt w:val="decimalEnclosedCircleChinese"/>
      <w:suff w:val="nothing"/>
      <w:lvlText w:val="%1　"/>
      <w:lvlJc w:val="left"/>
      <w:pPr>
        <w:ind w:left="0" w:firstLine="400"/>
      </w:pPr>
      <w:rPr>
        <w:rFonts w:hint="eastAsia"/>
      </w:rPr>
    </w:lvl>
  </w:abstractNum>
  <w:abstractNum w:abstractNumId="23">
    <w:nsid w:val="6A1D3E29"/>
    <w:multiLevelType w:val="singleLevel"/>
    <w:tmpl w:val="6A1D3E29"/>
    <w:lvl w:ilvl="0" w:tentative="0">
      <w:start w:val="12"/>
      <w:numFmt w:val="decimal"/>
      <w:lvlText w:val="%1."/>
      <w:lvlJc w:val="left"/>
      <w:pPr>
        <w:tabs>
          <w:tab w:val="left" w:pos="312"/>
        </w:tabs>
      </w:pPr>
    </w:lvl>
  </w:abstractNum>
  <w:num w:numId="1">
    <w:abstractNumId w:val="6"/>
  </w:num>
  <w:num w:numId="2">
    <w:abstractNumId w:val="10"/>
  </w:num>
  <w:num w:numId="3">
    <w:abstractNumId w:val="16"/>
  </w:num>
  <w:num w:numId="4">
    <w:abstractNumId w:val="17"/>
  </w:num>
  <w:num w:numId="5">
    <w:abstractNumId w:val="21"/>
  </w:num>
  <w:num w:numId="6">
    <w:abstractNumId w:val="18"/>
  </w:num>
  <w:num w:numId="7">
    <w:abstractNumId w:val="23"/>
  </w:num>
  <w:num w:numId="8">
    <w:abstractNumId w:val="11"/>
  </w:num>
  <w:num w:numId="9">
    <w:abstractNumId w:val="13"/>
  </w:num>
  <w:num w:numId="10">
    <w:abstractNumId w:val="8"/>
  </w:num>
  <w:num w:numId="11">
    <w:abstractNumId w:val="15"/>
  </w:num>
  <w:num w:numId="12">
    <w:abstractNumId w:val="5"/>
  </w:num>
  <w:num w:numId="13">
    <w:abstractNumId w:val="2"/>
  </w:num>
  <w:num w:numId="14">
    <w:abstractNumId w:val="3"/>
  </w:num>
  <w:num w:numId="15">
    <w:abstractNumId w:val="19"/>
  </w:num>
  <w:num w:numId="16">
    <w:abstractNumId w:val="12"/>
  </w:num>
  <w:num w:numId="17">
    <w:abstractNumId w:val="7"/>
  </w:num>
  <w:num w:numId="18">
    <w:abstractNumId w:val="4"/>
  </w:num>
  <w:num w:numId="19">
    <w:abstractNumId w:val="9"/>
  </w:num>
  <w:num w:numId="20">
    <w:abstractNumId w:val="20"/>
  </w:num>
  <w:num w:numId="21">
    <w:abstractNumId w:val="1"/>
  </w:num>
  <w:num w:numId="22">
    <w:abstractNumId w:val="14"/>
  </w:num>
  <w:num w:numId="23">
    <w:abstractNumId w:val="2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3002D57"/>
    <w:rsid w:val="06222576"/>
    <w:rsid w:val="07B32900"/>
    <w:rsid w:val="07FF38FF"/>
    <w:rsid w:val="08430832"/>
    <w:rsid w:val="0BD20E6D"/>
    <w:rsid w:val="0C664059"/>
    <w:rsid w:val="10F22817"/>
    <w:rsid w:val="1511225F"/>
    <w:rsid w:val="1B972C67"/>
    <w:rsid w:val="23DA7B0F"/>
    <w:rsid w:val="24EF141E"/>
    <w:rsid w:val="29B86739"/>
    <w:rsid w:val="2B512187"/>
    <w:rsid w:val="2CF3719B"/>
    <w:rsid w:val="2D4E45D0"/>
    <w:rsid w:val="30D50061"/>
    <w:rsid w:val="3D0F2D97"/>
    <w:rsid w:val="3DA146EC"/>
    <w:rsid w:val="3E416D5F"/>
    <w:rsid w:val="3F8C2233"/>
    <w:rsid w:val="44531571"/>
    <w:rsid w:val="482F41B3"/>
    <w:rsid w:val="48BC062F"/>
    <w:rsid w:val="48C236A8"/>
    <w:rsid w:val="4B635EC5"/>
    <w:rsid w:val="4E554703"/>
    <w:rsid w:val="4E9B1B4B"/>
    <w:rsid w:val="56EF1DE3"/>
    <w:rsid w:val="580F7193"/>
    <w:rsid w:val="5AE64427"/>
    <w:rsid w:val="61371BA7"/>
    <w:rsid w:val="62AF7E63"/>
    <w:rsid w:val="630F5220"/>
    <w:rsid w:val="63DA0F0F"/>
    <w:rsid w:val="64754831"/>
    <w:rsid w:val="65E9591B"/>
    <w:rsid w:val="67D76964"/>
    <w:rsid w:val="6A1217B8"/>
    <w:rsid w:val="6AA162E3"/>
    <w:rsid w:val="753F36F1"/>
    <w:rsid w:val="779C4B02"/>
    <w:rsid w:val="7BDF63DC"/>
    <w:rsid w:val="7DC7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4127</Words>
  <Characters>4743</Characters>
  <Lines>0</Lines>
  <Paragraphs>0</Paragraphs>
  <TotalTime>52</TotalTime>
  <ScaleCrop>false</ScaleCrop>
  <LinksUpToDate>false</LinksUpToDate>
  <CharactersWithSpaces>4808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2025-02-23T13:15:08Z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