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黑体" w:hAnsi="黑体" w:eastAsia="黑体"/>
          <w:b/>
          <w:sz w:val="40"/>
        </w:rPr>
        <w:t>技术方案与架构设计文档</w:t>
      </w:r>
    </w:p>
    <w:p>
      <w:r>
        <w:rPr>
          <w:rFonts w:ascii="宋体" w:hAnsi="宋体" w:eastAsia="宋体"/>
          <w:b/>
          <w:sz w:val="21"/>
        </w:rPr>
        <w:t>项目名称</w:t>
      </w:r>
      <w:r>
        <w:rPr>
          <w:rFonts w:ascii="宋体" w:hAnsi="宋体" w:eastAsia="宋体"/>
          <w:sz w:val="21"/>
        </w:rPr>
        <w:t>：慢性病患者健康风险预测与干预</w:t>
      </w:r>
    </w:p>
    <w:p>
      <w:r>
        <w:rPr>
          <w:rFonts w:ascii="宋体" w:hAnsi="宋体" w:eastAsia="宋体"/>
          <w:b/>
          <w:sz w:val="21"/>
        </w:rPr>
        <w:t>所属课程</w:t>
      </w:r>
      <w:r>
        <w:rPr>
          <w:rFonts w:ascii="宋体" w:hAnsi="宋体" w:eastAsia="宋体"/>
          <w:sz w:val="21"/>
        </w:rPr>
        <w:t>：海量数据挖掘分析与可视化实战（综合项目）</w:t>
      </w:r>
    </w:p>
    <w:p>
      <w:r>
        <w:rPr>
          <w:rFonts w:ascii="宋体" w:hAnsi="宋体" w:eastAsia="宋体"/>
          <w:b/>
          <w:sz w:val="21"/>
        </w:rPr>
        <w:t>里程碑</w:t>
      </w:r>
      <w:r>
        <w:rPr>
          <w:rFonts w:ascii="宋体" w:hAnsi="宋体" w:eastAsia="宋体"/>
          <w:sz w:val="21"/>
        </w:rPr>
        <w:t>：M2 · 技术方案与架构设计</w:t>
      </w:r>
    </w:p>
    <w:p>
      <w:r>
        <w:rPr>
          <w:rFonts w:ascii="宋体" w:hAnsi="宋体" w:eastAsia="宋体"/>
          <w:b/>
          <w:sz w:val="21"/>
        </w:rPr>
        <w:t>作者</w:t>
      </w:r>
      <w:r>
        <w:rPr>
          <w:rFonts w:ascii="宋体" w:hAnsi="宋体" w:eastAsia="宋体"/>
          <w:sz w:val="21"/>
        </w:rPr>
        <w:t>：许宇翔　20240517108</w:t>
      </w:r>
    </w:p>
    <w:p>
      <w:r>
        <w:rPr>
          <w:rFonts w:ascii="宋体" w:hAnsi="宋体" w:eastAsia="宋体"/>
          <w:b/>
          <w:sz w:val="21"/>
        </w:rPr>
        <w:t>数据来源</w:t>
      </w:r>
      <w:r>
        <w:rPr>
          <w:rFonts w:ascii="宋体" w:hAnsi="宋体" w:eastAsia="宋体"/>
          <w:sz w:val="21"/>
        </w:rPr>
        <w:t>：CDC BRFSS LLCP 2019—2023 五年合并，2,137,374 条原始记录</w:t>
      </w:r>
    </w:p>
    <w:p>
      <w:r>
        <w:rPr>
          <w:rFonts w:ascii="宋体" w:hAnsi="宋体" w:eastAsia="宋体"/>
          <w:b/>
          <w:sz w:val="21"/>
        </w:rPr>
        <w:t>文档版本</w:t>
      </w:r>
      <w:r>
        <w:rPr>
          <w:rFonts w:ascii="宋体" w:hAnsi="宋体" w:eastAsia="宋体"/>
          <w:sz w:val="21"/>
        </w:rPr>
        <w:t>：v1.0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一、方案目标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1.1 业务目标</w:t>
      </w:r>
    </w:p>
    <w:p>
      <w:r>
        <w:rPr>
          <w:rFonts w:ascii="宋体" w:hAnsi="宋体" w:eastAsia="宋体"/>
          <w:sz w:val="21"/>
        </w:rPr>
        <w:t>以慢性病（糖尿病、冠心病、心肌梗死、卒中、慢阻肺、哮喘、慢性肾病、抑郁）为核心对象，回答三个递进问题：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现状是什么</w:t>
      </w:r>
      <w:r>
        <w:rPr>
          <w:rFonts w:ascii="宋体" w:hAnsi="宋体" w:eastAsia="宋体"/>
          <w:sz w:val="21"/>
        </w:rPr>
        <w:t>——五年间 8 类慢病的患病率、共病结构如何在年龄、收入、教育、州际三个维度上分布；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风险从哪来</w:t>
      </w:r>
      <w:r>
        <w:rPr>
          <w:rFonts w:ascii="宋体" w:hAnsi="宋体" w:eastAsia="宋体"/>
          <w:sz w:val="21"/>
        </w:rPr>
        <w:t>——吸烟、肥胖、缺乏运动、重度饮酒、费用障碍等可干预因素与共病的关联强度（调整后 OR）有多大；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谁需要先干预</w:t>
      </w:r>
      <w:r>
        <w:rPr>
          <w:rFonts w:ascii="宋体" w:hAnsi="宋体" w:eastAsia="宋体"/>
          <w:sz w:val="21"/>
        </w:rPr>
        <w:t>——给定一个个体的可采集特征，输出其共病阳性概率与风险等级，并给出可执行的干预建议。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1.2 技术目标（可量化）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验收阈值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实际达成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T1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数据规模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≥ 200 万条真实记录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2,137,374 条（清洗后 2,136,402 条）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T2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原始数据可追溯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保留原始副本 + 校验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parquet 原件 + SHA256SUMS + CSV 副本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T3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分析引擎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具备分布式计算能力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PySpark 4.2 清洗与 EDA + Spark MLlib 建模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T4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模型效果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时间外推测试集 AUC ≥ 0.75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LightGBM 0.7740（5 折 CV 0.7815±0.0012）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T5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服务化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提供可调用的在线预测接口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FastAPI 12 个路由，聚合查询 17~37ms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T6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可视化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覆盖现状/因素/分层/地图/模型五类视图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9 个面板 + 4 图联动下钻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T7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工程质量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自动化测试通过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pytest 43 项全绿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sz w:val="24"/>
        </w:rPr>
        <w:t>1.3 交付目标</w:t>
      </w:r>
    </w:p>
    <w:p>
      <w:r>
        <w:rPr>
          <w:rFonts w:ascii="宋体" w:hAnsi="宋体" w:eastAsia="宋体"/>
          <w:sz w:val="21"/>
        </w:rPr>
        <w:t>一套</w:t>
      </w:r>
      <w:r>
        <w:rPr>
          <w:rFonts w:ascii="宋体" w:hAnsi="宋体" w:eastAsia="宋体"/>
          <w:b/>
          <w:sz w:val="21"/>
        </w:rPr>
        <w:t>数据—分析—模型—服务—可视化</w:t>
      </w:r>
      <w:r>
        <w:rPr>
          <w:rFonts w:ascii="宋体" w:hAnsi="宋体" w:eastAsia="宋体"/>
          <w:sz w:val="21"/>
        </w:rPr>
        <w:t>闭环的可复现工程，加一份可直接答辩的报告与 17 页 PPT，以及一个解压即用的便携版。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二、主要思路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2.1 一句话概括</w:t>
      </w:r>
    </w:p>
    <w:p>
      <w:r>
        <w:rPr>
          <w:rFonts w:ascii="宋体" w:hAnsi="宋体" w:eastAsia="宋体"/>
          <w:b/>
          <w:sz w:val="21"/>
        </w:rPr>
        <w:t>用真实公开微观调查数据，先在分布式引擎里把"脏"洗成"净"并冻结口径，再用星型模型把明细沉淀为可查询的指标层，然后在这个稳定的口径上做统计推断与机器学习双轨建模，最后把模型与指标一起包装成 REST 接口和可视化面板。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2.2 五条设计原则</w:t>
      </w:r>
    </w:p>
    <w:p>
      <w:r>
        <w:rPr>
          <w:rFonts w:ascii="宋体" w:hAnsi="宋体" w:eastAsia="宋体"/>
          <w:b/>
          <w:sz w:val="21"/>
        </w:rPr>
        <w:t>原则一：原始数据只读取、不修改。</w:t>
      </w:r>
    </w:p>
    <w:p>
      <w:r>
        <w:rPr>
          <w:rFonts w:ascii="宋体" w:hAnsi="宋体" w:eastAsia="宋体"/>
          <w:sz w:val="21"/>
        </w:rPr>
        <w:t>所有清洗都在内存/中间层完成，data/raw/ 下的 5 个 parquet 保持字节级不变，另存 SHA256 校验清单。这样任何一次"口径写错了"的返工都只是重跑脚本，不会毁掉证据链。</w:t>
      </w:r>
    </w:p>
    <w:p>
      <w:r>
        <w:rPr>
          <w:rFonts w:ascii="宋体" w:hAnsi="宋体" w:eastAsia="宋体"/>
          <w:b/>
          <w:sz w:val="21"/>
        </w:rPr>
        <w:t>原则二：口径先行、冻结后再建模。</w:t>
      </w:r>
    </w:p>
    <w:p>
      <w:r>
        <w:rPr>
          <w:rFonts w:ascii="宋体" w:hAnsi="宋体" w:eastAsia="宋体"/>
          <w:sz w:val="21"/>
        </w:rPr>
        <w:t>BRFSS 的编码陷阱极多（详见 5.4）。我们在动任何模型之前，先把 8 类慢病标志、9 个危险因素的方向与缺失约定写进 _设计规格.md 并冻结。</w:t>
      </w:r>
      <w:r>
        <w:rPr>
          <w:rFonts w:ascii="宋体" w:hAnsi="宋体" w:eastAsia="宋体"/>
          <w:b/>
          <w:sz w:val="21"/>
        </w:rPr>
        <w:t>教训来源</w:t>
      </w:r>
      <w:r>
        <w:rPr>
          <w:rFonts w:ascii="宋体" w:hAnsi="宋体" w:eastAsia="宋体"/>
          <w:sz w:val="21"/>
        </w:rPr>
        <w:t>：开发中出现过把"1=否/2=是"的字段当成"1=是"，导致重度饮酒率被算成 86.73%（真实值 13.27%）——方向错一次，结论反一次，且模型照样能训练出高 AUC，错误会静默通过。</w:t>
      </w:r>
    </w:p>
    <w:p>
      <w:r>
        <w:rPr>
          <w:rFonts w:ascii="宋体" w:hAnsi="宋体" w:eastAsia="宋体"/>
          <w:b/>
          <w:sz w:val="21"/>
        </w:rPr>
        <w:t>原则三：明细与聚合分离（星型模型）。</w:t>
      </w:r>
    </w:p>
    <w:p>
      <w:r>
        <w:rPr>
          <w:rFonts w:ascii="宋体" w:hAnsi="宋体" w:eastAsia="宋体"/>
          <w:sz w:val="21"/>
        </w:rPr>
        <w:t>事实表存 213 万行个体记录，聚合表预计算患病率/暴露率/分层分布。接口只查聚合表，实测响应从 2322ms 降到 37ms。聚合表可从明细重建（scripts/rebuild_aggregates.py），不存在"只能手工维护"的状态。</w:t>
      </w:r>
    </w:p>
    <w:p>
      <w:r>
        <w:rPr>
          <w:rFonts w:ascii="宋体" w:hAnsi="宋体" w:eastAsia="宋体"/>
          <w:b/>
          <w:sz w:val="21"/>
        </w:rPr>
        <w:t>原则四：标签必须与特征在时间上可分离。</w:t>
      </w:r>
    </w:p>
    <w:p>
      <w:r>
        <w:rPr>
          <w:rFonts w:ascii="宋体" w:hAnsi="宋体" w:eastAsia="宋体"/>
          <w:sz w:val="21"/>
        </w:rPr>
        <w:t xml:space="preserve">特征集刻意分成两套：Set-A（19 个人口学+行为+就医可及性特征）与 Set-B（额外并入自评健康、心理不良天数等）。Set-B 的 AUC 高出 </w:t>
      </w:r>
      <w:r>
        <w:rPr>
          <w:rFonts w:ascii="宋体" w:hAnsi="宋体" w:eastAsia="宋体"/>
          <w:b/>
          <w:sz w:val="21"/>
        </w:rPr>
        <w:t>0.0462</w:t>
      </w:r>
      <w:r>
        <w:rPr>
          <w:rFonts w:ascii="宋体" w:hAnsi="宋体" w:eastAsia="宋体"/>
          <w:sz w:val="21"/>
        </w:rPr>
        <w:t>，但自评健康是疾病的</w:t>
      </w:r>
      <w:r>
        <w:rPr>
          <w:rFonts w:ascii="宋体" w:hAnsi="宋体" w:eastAsia="宋体"/>
          <w:b/>
          <w:sz w:val="21"/>
        </w:rPr>
        <w:t>后果</w:t>
      </w:r>
      <w:r>
        <w:rPr>
          <w:rFonts w:ascii="宋体" w:hAnsi="宋体" w:eastAsia="宋体"/>
          <w:sz w:val="21"/>
        </w:rPr>
        <w:t>而非前因——用它预测等于让模型偷看答案。因此正式模型锁定 Set-A，Set-B 只作为泄漏对照实验写进报告。</w:t>
      </w:r>
    </w:p>
    <w:p>
      <w:r>
        <w:rPr>
          <w:rFonts w:ascii="宋体" w:hAnsi="宋体" w:eastAsia="宋体"/>
          <w:b/>
          <w:sz w:val="21"/>
        </w:rPr>
        <w:t>原则五：评价用时间外推，不用随机切分。</w:t>
      </w:r>
    </w:p>
    <w:p>
      <w:r>
        <w:rPr>
          <w:rFonts w:ascii="宋体" w:hAnsi="宋体" w:eastAsia="宋体"/>
          <w:sz w:val="21"/>
        </w:rPr>
        <w:t>训练集 2019—2022（1,703,267 行），测试集 2023（433,135 行）。同一份问卷的相邻年份高度相关，随机切分会让指标虚高；按年外推才等价于"用历史预测未来"的真实部署场景。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2.3 技术路线主线（六环节）</w:t>
      </w:r>
    </w:p>
    <w:p>
      <w:pPr>
        <w:spacing w:before="80" w:after="160" w:line="240" w:lineRule="auto"/>
      </w:pPr>
      <w:r>
        <w:rPr>
          <w:rFonts w:ascii="Consolas" w:hAnsi="Consolas" w:eastAsia="Consolas"/>
          <w:sz w:val="15"/>
        </w:rPr>
        <w:t>①数据获取          ②清洗治理          ③存储建模          ④统计分析          ⑤机器学习          ⑥服务与可视化</w:t>
        <w:br/>
        <w:t>BRFSS 5年parquet → PySpark 类型/编码/  → SQLite 星型模型 → 加权患病率        → sklearn 6组      → FastAPI 12路由</w:t>
        <w:br/>
        <w:t>(213.7万行)        缺失/主键统一        (1事实4维4聚合)   + Logistic OR      + Spark MLlib      + ECharts 9面板</w:t>
        <w:br/>
        <w:t xml:space="preserve">                                                                             + PyTorch MLP      + JWT 鉴权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三、系统架构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3.1 分层架构图</w:t>
      </w:r>
    </w:p>
    <w:p>
      <w:pPr>
        <w:spacing w:before="80" w:after="160" w:line="240" w:lineRule="auto"/>
      </w:pPr>
      <w:r>
        <w:rPr>
          <w:rFonts w:ascii="Consolas" w:hAnsi="Consolas" w:eastAsia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展示层  web/                                                            │</w:t>
        <w:br/>
        <w:t>│  ├─ 原生版 index.html + js/{api,charts,app}.js + ECharts 本地内置         │</w:t>
        <w:br/>
        <w:t>│  └─ Vue3 版 web/vue/（EChart / ChartCard / KpiCards / PredictForm 组件）  │</w:t>
        <w:br/>
        <w:t>│  视图：总览KPI · 患病率 · 年度趋势 · 危险因素 · 风险分层 · 州地图         │</w:t>
        <w:br/>
        <w:t>│        · 年龄组共病 · 模型指标 · 在线预测     （四图 click 联动下钻）  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HTTP / JSON  {code,message,data,traceId,timestamp}</w:t>
        <w:br/>
        <w:t>┌───────────────────────────────┴──────────────────────────────────────────┐</w:t>
        <w:br/>
        <w:t>│  服务层  api/                                                            │</w:t>
        <w:br/>
        <w:t>│  main.py（FastAPI 应用 + X-Response-Time 中间件 + 统一异常信封）           │</w:t>
        <w:br/>
        <w:t>│  ├─ contract.py   统一响应码与字段契约（CODE_UNAUTHORIZED=401 等）        │</w:t>
        <w:br/>
        <w:t>│  ├─ auth.py       JWT 签发/校验（HS256，TTL 3600s，bcrypt 存口令）         │</w:t>
        <w:br/>
        <w:t>│  ├─ repository.py SQL 查询层（参数化，只读）                              │</w:t>
        <w:br/>
        <w:t>│  └─ predictor.py  模型加载（joblib）+ 缺失特征填充 + 干预规则匹配      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sqlite3 只读连接</w:t>
        <w:br/>
        <w:t>┌───────────────────────────────┴──────────────────────────────────────────┐</w:t>
        <w:br/>
        <w:t>│  存储层  db/chronic_risk.db  (361 MB)                                    │</w:t>
        <w:br/>
        <w:t>│  事实表 fact_brfss 2,136,402 行 × 37 列                                  │</w:t>
        <w:br/>
        <w:t>│  维表   dim_year / dim_state / dim_age_group / dim_income_group           │</w:t>
        <w:br/>
        <w:t>│         / dim_education / dim_chronic                                    │</w:t>
        <w:br/>
        <w:t>│  聚合表 agg_prevalence_year / agg_prevalence_state / agg_risk_factor      │</w:t>
        <w:br/>
        <w:t>│         / agg_risk_stratum                                               │</w:t>
        <w:br/>
        <w:t>│  元数据 model_metrics / audit_pipeline          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Arrow → pandas 分批写入</w:t>
        <w:br/>
        <w:t>┌───────────────────────────────┴──────────────────────────────────────────┐</w:t>
        <w:br/>
        <w:t>│  计算层  pipeline/                                                       │</w:t>
        <w:br/>
        <w:t>│  01_download.py     从 HuggingFace 镜像拉 5 年 parquet                    │</w:t>
        <w:br/>
        <w:t>│  02_clean_spark.py  PySpark 清洗：类型统一 / 编码归一 / 主键重算 / 派生列  │</w:t>
        <w:br/>
        <w:t>│  03_eda_spark.py    PySpark EDA：12 图 + eda_metrics.json + 假设检验      │</w:t>
        <w:br/>
        <w:t>│  04_features.py     特征工程：Set-A(19) / Set-B(24)、dataset.parquet      │</w:t>
        <w:br/>
        <w:t>│  05_train.py        sklearn 6 组模型 + 5 折 CV + 时间外推评估 + 5 图      │</w:t>
        <w:br/>
        <w:t>│  06_build_db.py     建库：事实/维/聚合/元数据 + 索引                      │</w:t>
        <w:br/>
        <w:t>│  07_spark_mllib.py  Spark MLlib 对照实现（LR / GBT）                     │</w:t>
        <w:br/>
        <w:t>│  08_scheduled_ingest.py 定时增量（探活 + SHA256 判重 + audit 落库）       │</w:t>
        <w:br/>
        <w:t>│  09_selenium_scrape.py / crawler/  Scrapy + Selenium 采集练习             │</w:t>
        <w:br/>
        <w:t>│  10_tuning.py       网格调优实验                                          │</w:t>
        <w:br/>
        <w:t>│  11_seaborn_figures.py Seaborn 统计图族         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只读</w:t>
        <w:br/>
        <w:t>┌───────────────────────────────┴──────────────────────────────────────────┐</w:t>
        <w:br/>
        <w:t>│  数据层  data/raw/  2023 parquet / 2022 / 2021 / 2020 / 2019             │</w:t>
        <w:br/>
        <w:t>│          共 593 列并集，交集 160 列，全数值型（338 int64 + 7 double）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3.2 各层职责与边界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目录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明确不做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data/raw/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存放只读原件与校验清单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不做任何字段修改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计算层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pipeline/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清洗、EDA、特征、训练、建库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不提供对外接口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存储层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db/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星型模型 + 预计算聚合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不承载业务逻辑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服务层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api/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契约、鉴权、查询、推理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不在请求内做训练或全表扫描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展示层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web/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渲染与交互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不直连数据库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治理层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scripts/、tests/、docs/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验收、重建、文档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sz w:val="24"/>
        </w:rPr>
        <w:t>3.3 三条关键数据流</w:t>
      </w:r>
    </w:p>
    <w:p>
      <w:r>
        <w:rPr>
          <w:rFonts w:ascii="宋体" w:hAnsi="宋体" w:eastAsia="宋体"/>
          <w:b/>
          <w:sz w:val="21"/>
        </w:rPr>
        <w:t>流A · 离线全量重建</w:t>
      </w:r>
      <w:r>
        <w:rPr>
          <w:rFonts w:ascii="宋体" w:hAnsi="宋体" w:eastAsia="宋体"/>
          <w:sz w:val="21"/>
        </w:rPr>
        <w:t>：01_download → 02_clean_spark → 03_eda_spark → 04_features → 05_train → 06_build_db。由 pipeline/run_all.py 串联，一次跑完全链路。</w:t>
      </w:r>
    </w:p>
    <w:p>
      <w:r>
        <w:rPr>
          <w:rFonts w:ascii="宋体" w:hAnsi="宋体" w:eastAsia="宋体"/>
          <w:b/>
          <w:sz w:val="21"/>
        </w:rPr>
        <w:t>流B · 在线查询</w:t>
      </w:r>
      <w:r>
        <w:rPr>
          <w:rFonts w:ascii="宋体" w:hAnsi="宋体" w:eastAsia="宋体"/>
          <w:sz w:val="21"/>
        </w:rPr>
        <w:t>：浏览器 → GET /api/v1/* → repository.py 参数化 SQL → 聚合表 → JSON 信封 → ECharts 渲染。全部为聚合查询，无全表扫描。</w:t>
      </w:r>
    </w:p>
    <w:p>
      <w:r>
        <w:rPr>
          <w:rFonts w:ascii="宋体" w:hAnsi="宋体" w:eastAsia="宋体"/>
          <w:b/>
          <w:sz w:val="21"/>
        </w:rPr>
        <w:t>流C · 在线推理</w:t>
      </w:r>
      <w:r>
        <w:rPr>
          <w:rFonts w:ascii="宋体" w:hAnsi="宋体" w:eastAsia="宋体"/>
          <w:sz w:val="21"/>
        </w:rPr>
        <w:t>：表单提交 → POST /api/v1/predict（Bearer 令牌）→ predictor.py 加载 LightGBM、按 Set-A 19 特征顺序组装、缺失填中位数 → 输出 probability / risk_level / model_info / missing_features / interventions。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四、技术选型与理由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4.1 选型对比表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候选方案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最终选择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计算引擎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pandas / </w:t>
            </w:r>
            <w:r>
              <w:rPr>
                <w:rFonts w:ascii="宋体" w:hAnsi="宋体" w:eastAsia="宋体"/>
                <w:b/>
                <w:sz w:val="18"/>
              </w:rPr>
              <w:t>PySpark</w:t>
            </w:r>
            <w:r>
              <w:rPr>
                <w:rFonts w:ascii="宋体" w:hAnsi="宋体" w:eastAsia="宋体"/>
                <w:sz w:val="18"/>
              </w:rPr>
              <w:t xml:space="preserve"> / Dask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PySpark 4.2（聚合场景回退 pandas）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213 万行 × 593 列已超出单机 pandas 舒适区；课程本身要求体现分布式能力。但聚合类操作用 pandas 更省事，故两者并用而非教条化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中间落盘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Spark df.write.parquet / </w:t>
            </w:r>
            <w:r>
              <w:rPr>
                <w:rFonts w:ascii="宋体" w:hAnsi="宋体" w:eastAsia="宋体"/>
                <w:b/>
                <w:sz w:val="18"/>
              </w:rPr>
              <w:t>Arrow→pandas 分批写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Arrow 分批写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本机 Spark 4.2 缺 winutils.exe，df.write 必抛 HADOOP_HOME 异常。清洗算子仍在 Spark 内完成，只有落盘环节换通道，分布式优势保留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存储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MySQL / PostgreSQL / </w:t>
            </w:r>
            <w:r>
              <w:rPr>
                <w:rFonts w:ascii="宋体" w:hAnsi="宋体" w:eastAsia="宋体"/>
                <w:b/>
                <w:sz w:val="18"/>
              </w:rPr>
              <w:t>SQLite</w:t>
            </w:r>
            <w:r>
              <w:rPr>
                <w:rFonts w:ascii="宋体" w:hAnsi="宋体" w:eastAsia="宋体"/>
                <w:sz w:val="18"/>
              </w:rPr>
              <w:t xml:space="preserve"> / Parquet 直查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SQLite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单机交付、零安装、可随包分发；213 万行 + 索引下单表聚合稳定在 40ms 内。代价是无并发写能力——但本项目是只读分析场景，该限制不构成瓶颈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建模（主力）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LightGBM</w:t>
            </w:r>
            <w:r>
              <w:rPr>
                <w:rFonts w:ascii="宋体" w:hAnsi="宋体" w:eastAsia="宋体"/>
                <w:sz w:val="18"/>
              </w:rPr>
              <w:t xml:space="preserve"> / XGBoost / 随机森林 / 逻辑回归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LightGBM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表格数据 SOTA 级别；对缺失值原生友好（BRFSS 大量"拒答/不知道"）；训练快、可解释（feature_importance）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建模（基线）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逻辑回归 / 决策树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逻辑回归 + 随机森林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必须有可对比基线，否则 0.7740 这个数字没有意义。LR 提供 OR 的统计解释，RF 提供非线性基线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建模（对照）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Spark MLlib</w:t>
            </w:r>
            <w:r>
              <w:rPr>
                <w:rFonts w:ascii="宋体" w:hAnsi="宋体" w:eastAsia="宋体"/>
                <w:sz w:val="18"/>
              </w:rPr>
              <w:t xml:space="preserve"> / PyTorch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两条都做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MLlib 证明分布式口径与 sklearn 一致（LR 0.7444 vs 0.7447，GBT 0.7671 vs 0.7740）；PyTorch MLP 证明深度模型在此特征集上并无增益（0.7699）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服务框架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Flask / Django / </w:t>
            </w:r>
            <w:r>
              <w:rPr>
                <w:rFonts w:ascii="宋体" w:hAnsi="宋体" w:eastAsia="宋体"/>
                <w:b/>
                <w:sz w:val="18"/>
              </w:rPr>
              <w:t>FastAPI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FastAPI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原生异步、Pydantic 校验、自动 OpenAPI 文档；本机 uvicorn 单进程即可支撑演示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鉴权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Session / </w:t>
            </w:r>
            <w:r>
              <w:rPr>
                <w:rFonts w:ascii="宋体" w:hAnsi="宋体" w:eastAsia="宋体"/>
                <w:b/>
                <w:sz w:val="18"/>
              </w:rPr>
              <w:t>JWT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JWT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无状态、前端易携带、便于演示"无令牌 401 → 登录 → 带令牌 200"的完整链路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可视化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Tableau / </w:t>
            </w:r>
            <w:r>
              <w:rPr>
                <w:rFonts w:ascii="宋体" w:hAnsi="宋体" w:eastAsia="宋体"/>
                <w:b/>
                <w:sz w:val="18"/>
              </w:rPr>
              <w:t>ECharts</w:t>
            </w:r>
            <w:r>
              <w:rPr>
                <w:rFonts w:ascii="宋体" w:hAnsi="宋体" w:eastAsia="宋体"/>
                <w:sz w:val="18"/>
              </w:rPr>
              <w:t xml:space="preserve"> / Plotly / Superset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ECharts（本地内置）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免授权、可离线、支持地图与联动；echarts.min.js 与 us-states.geojson 随仓库分发，断网可用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前端组织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React / </w:t>
            </w:r>
            <w:r>
              <w:rPr>
                <w:rFonts w:ascii="宋体" w:hAnsi="宋体" w:eastAsia="宋体"/>
                <w:b/>
                <w:sz w:val="18"/>
              </w:rPr>
              <w:t>原生 + Vue3 双版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双版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原生版零构建依赖、双击即开，适合答辩；Vue3 版演示组件化能力（加分项）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采集练习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requests / </w:t>
            </w:r>
            <w:r>
              <w:rPr>
                <w:rFonts w:ascii="宋体" w:hAnsi="宋体" w:eastAsia="宋体"/>
                <w:b/>
                <w:sz w:val="18"/>
              </w:rPr>
              <w:t>Scrapy + Selenium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两者都做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Scrapy 覆盖静态站点与管道；Selenium 覆盖 JS 渲染与驱动管理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部署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 xml:space="preserve">手工 / </w:t>
            </w:r>
            <w:r>
              <w:rPr>
                <w:rFonts w:ascii="宋体" w:hAnsi="宋体" w:eastAsia="宋体"/>
                <w:b/>
                <w:sz w:val="18"/>
              </w:rPr>
              <w:t>Docker + 便携包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两者都备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Dockerfile/compose 提供标准做法（本机无 Docker，仅做 YAML 校验）；便携包解决"老师电脑没环境"的真实痛点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sz w:val="24"/>
        </w:rPr>
        <w:t>4.2 被否决的方案及原因</w:t>
      </w:r>
    </w:p>
    <w:p>
      <w:pPr>
        <w:ind w:left="420" w:hanging="227"/>
      </w:pPr>
      <w:r>
        <w:rPr>
          <w:rFonts w:ascii="宋体" w:hAnsi="宋体" w:eastAsia="宋体"/>
          <w:sz w:val="21"/>
        </w:rPr>
        <w:t>・</w:t>
      </w:r>
      <w:r>
        <w:rPr>
          <w:rFonts w:ascii="宋体" w:hAnsi="宋体" w:eastAsia="宋体"/>
          <w:b/>
          <w:sz w:val="21"/>
        </w:rPr>
        <w:t>放弃 CDC 官网直连</w:t>
      </w:r>
      <w:r>
        <w:rPr>
          <w:rFonts w:ascii="宋体" w:hAnsi="宋体" w:eastAsia="宋体"/>
          <w:sz w:val="21"/>
        </w:rPr>
        <w:t>：www.cdc.gov 对本机返回 403，HEAD/GET/curl 全部失败；改用 HuggingFace 镜像 LoneWolfgang/brfss-llcp 的同一份 LLCP 数据，来源可核验。</w:t>
      </w:r>
    </w:p>
    <w:p>
      <w:pPr>
        <w:ind w:left="420" w:hanging="227"/>
      </w:pPr>
      <w:r>
        <w:rPr>
          <w:rFonts w:ascii="宋体" w:hAnsi="宋体" w:eastAsia="宋体"/>
          <w:sz w:val="21"/>
        </w:rPr>
        <w:t>・</w:t>
      </w:r>
      <w:r>
        <w:rPr>
          <w:rFonts w:ascii="宋体" w:hAnsi="宋体" w:eastAsia="宋体"/>
          <w:b/>
          <w:sz w:val="21"/>
        </w:rPr>
        <w:t>放弃在 Spark 内完成全部分析</w:t>
      </w:r>
      <w:r>
        <w:rPr>
          <w:rFonts w:ascii="宋体" w:hAnsi="宋体" w:eastAsia="宋体"/>
          <w:sz w:val="21"/>
        </w:rPr>
        <w:t>：03_eda_spark.py 中 Logistic 设计矩阵出现过秩亏（常量列 age_unknown、sex_unknown），statsmodels 只告警不报错、系数不可识别。改为用 20 万行抽样的带主元 QR 判数值秩后剔除常量列——</w:t>
      </w:r>
      <w:r>
        <w:rPr>
          <w:rFonts w:ascii="宋体" w:hAnsi="宋体" w:eastAsia="宋体"/>
          <w:b/>
          <w:sz w:val="21"/>
        </w:rPr>
        <w:t>告警不等于没问题，必须主动验证数值秩</w:t>
      </w:r>
      <w:r>
        <w:rPr>
          <w:rFonts w:ascii="宋体" w:hAnsi="宋体" w:eastAsia="宋体"/>
          <w:sz w:val="21"/>
        </w:rPr>
        <w:t>。</w:t>
      </w:r>
    </w:p>
    <w:p>
      <w:pPr>
        <w:ind w:left="420" w:hanging="227"/>
      </w:pPr>
      <w:r>
        <w:rPr>
          <w:rFonts w:ascii="宋体" w:hAnsi="宋体" w:eastAsia="宋体"/>
          <w:sz w:val="21"/>
        </w:rPr>
        <w:t>・</w:t>
      </w:r>
      <w:r>
        <w:rPr>
          <w:rFonts w:ascii="宋体" w:hAnsi="宋体" w:eastAsia="宋体"/>
          <w:b/>
          <w:sz w:val="21"/>
        </w:rPr>
        <w:t>放弃"高 AUC 就是更好"的判断</w:t>
      </w:r>
      <w:r>
        <w:rPr>
          <w:rFonts w:ascii="宋体" w:hAnsi="宋体" w:eastAsia="宋体"/>
          <w:sz w:val="21"/>
        </w:rPr>
        <w:t>：见原则四。Set-B 的 0.8202 是泄漏产物，不作为成果。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五、数据模型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5.1 三层数据形态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规模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原始层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data/raw/*.parquet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2,137,374 行 × 342~345 列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五年并集 593 列，交集仅 160 列，433 列只存在于部分年份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明细层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fact_brfss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2,136,402 行 × 37 列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统一编码、重算主键、派生指标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指标层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4 张聚合表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45 / 2376 / 45 / 35 行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预计算，供接口直接读取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sz w:val="24"/>
        </w:rPr>
        <w:t>5.2 事实表 fact_brfss（37 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分组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seq_key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{year}_{_STSTR}_{SEQNO} 拼接。</w:t>
            </w:r>
            <w:r>
              <w:rPr>
                <w:rFonts w:ascii="宋体" w:hAnsi="宋体" w:eastAsia="宋体"/>
                <w:b/>
                <w:sz w:val="18"/>
              </w:rPr>
              <w:t>SEQNO 是层内序号不是全局唯一</w:t>
            </w:r>
            <w:r>
              <w:rPr>
                <w:rFonts w:ascii="宋体" w:hAnsi="宋体" w:eastAsia="宋体"/>
                <w:sz w:val="18"/>
              </w:rPr>
              <w:t>：2019 年 418,268 行只有 17,419 个不同值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时间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year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2019—2023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地理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state_fips、state_name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54 个州/属地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人口学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age、age_grp、sex、race、education、income_grp、marital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归一化编码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慢病标志（8）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diabetes、coronary、heart_attack、stroke、copd、asthma、kidney、depression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全部 0/1，"1=患有"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危险因素（9）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smoke_status、bmi、obese、phys_activity、heavy_drink、checkup、checkup_over_1y、medcost_barrier、usual_doctor、diff_walk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bmi 为连续值，其余 0/1 或有序码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派生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chronic_count、multimorbidity、genhlth、menthlth、physhlth、weight_raw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multimorbidity = chronic_count ≥ 2</w:t>
            </w:r>
          </w:p>
        </w:tc>
      </w:tr>
    </w:tbl>
    <w:p/>
    <w:p>
      <w:pPr>
        <w:spacing w:before="180" w:after="80"/>
      </w:pPr>
      <w:r>
        <w:rPr>
          <w:rFonts w:ascii="黑体" w:hAnsi="黑体" w:eastAsia="黑体"/>
          <w:b/>
          <w:sz w:val="24"/>
        </w:rPr>
        <w:t>5.3 维表与聚合表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表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行数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dim_year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年份维度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dim_state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54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州维度（含 FIPS，供地图匹配）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dim_age_group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年龄组（18-24 … 80+）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dim_income_group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收入 8 档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dim_education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教育 6 档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dim_chronic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8 类慢病 + 合计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agg_prevalence_year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45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年 × 慢病 患病率（含加权/未加权）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agg_prevalence_state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2376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州 × 慢病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agg_risk_factor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45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年 × 危险因素 暴露率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agg_risk_stratum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风险分层 × 慢性病数量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model_metrics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43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模型 × 指标 长表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audit_pipeline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每次采集/构建的审计记录</w:t>
            </w:r>
          </w:p>
        </w:tc>
      </w:tr>
    </w:tbl>
    <w:p/>
    <w:p>
      <w:r>
        <w:rPr>
          <w:rFonts w:ascii="宋体" w:hAnsi="宋体" w:eastAsia="宋体"/>
          <w:sz w:val="21"/>
        </w:rPr>
        <w:t>索引：idx_fact_year、idx_fact_state、idx_fact_diabetes、idx_fact_multimorbidity、idx_fact_age_grp。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5.4 四个必须知道的口径陷阱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主键不唯一</w:t>
      </w:r>
      <w:r>
        <w:rPr>
          <w:rFonts w:ascii="宋体" w:hAnsi="宋体" w:eastAsia="宋体"/>
          <w:sz w:val="21"/>
        </w:rPr>
        <w:t>：SEQNO 与 _PSU 均为层内序号，不能单独作主键；(_STSTR, SEQNO) 组合去重后与总行数相等，故可用，并加上年份前缀构成 seq_key。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编码方向不一致</w:t>
      </w:r>
      <w:r>
        <w:rPr>
          <w:rFonts w:ascii="宋体" w:hAnsi="宋体" w:eastAsia="宋体"/>
          <w:sz w:val="21"/>
        </w:rPr>
        <w:t xml:space="preserve">：慢病标志位是"1=是"，但 _RFBING6（重度饮酒）是"1=否/2=是"，_TOTINDA（运动）是"1=有/2=无"。若不逐字段核对方向，重度饮酒率会从 </w:t>
      </w:r>
      <w:r>
        <w:rPr>
          <w:rFonts w:ascii="宋体" w:hAnsi="宋体" w:eastAsia="宋体"/>
          <w:b/>
          <w:sz w:val="21"/>
        </w:rPr>
        <w:t>13.27% 变成 86.73%</w:t>
      </w:r>
      <w:r>
        <w:rPr>
          <w:rFonts w:ascii="宋体" w:hAnsi="宋体" w:eastAsia="宋体"/>
          <w:sz w:val="21"/>
        </w:rPr>
        <w:t>。本项目已将全部二值字段统一为"1=字段名所述状态成立"。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CHECKUP1 不是"是否体检"</w:t>
      </w:r>
      <w:r>
        <w:rPr>
          <w:rFonts w:ascii="宋体" w:hAnsi="宋体" w:eastAsia="宋体"/>
          <w:sz w:val="21"/>
        </w:rPr>
        <w:t xml:space="preserve">：编码为 1=12月内 / 2=2年内 / 3=5年内 / 4=5年以上 / </w:t>
      </w:r>
      <w:r>
        <w:rPr>
          <w:rFonts w:ascii="宋体" w:hAnsi="宋体" w:eastAsia="宋体"/>
          <w:b/>
          <w:sz w:val="21"/>
        </w:rPr>
        <w:t>8=从未</w:t>
      </w:r>
      <w:r>
        <w:rPr>
          <w:rFonts w:ascii="宋体" w:hAnsi="宋体" w:eastAsia="宋体"/>
          <w:sz w:val="21"/>
        </w:rPr>
        <w:t>。按 =1 统计会得出"81% 的人从未体检"这一荒谬结论；正确口径是 checkup_over_1y = checkup &gt; 1。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跨年列不一致</w:t>
      </w:r>
      <w:r>
        <w:rPr>
          <w:rFonts w:ascii="宋体" w:hAnsi="宋体" w:eastAsia="宋体"/>
          <w:sz w:val="21"/>
        </w:rPr>
        <w:t>：五年并集 593 列但交集只有 160 列，433 列只存在于部分年份。任何跨年分析必须先对齐到交集，否则会出现整列缺失却被当作"真实零值"。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六、API 清单</w:t>
      </w:r>
    </w:p>
    <w:p>
      <w:r>
        <w:rPr>
          <w:rFonts w:ascii="宋体" w:hAnsi="宋体" w:eastAsia="宋体"/>
          <w:sz w:val="21"/>
        </w:rPr>
        <w:t>统一响应信封：</w:t>
      </w:r>
    </w:p>
    <w:p>
      <w:pPr>
        <w:spacing w:before="80" w:after="160" w:line="240" w:lineRule="auto"/>
      </w:pPr>
      <w:r>
        <w:rPr>
          <w:rFonts w:ascii="Consolas" w:hAnsi="Consolas" w:eastAsia="Consolas"/>
          <w:sz w:val="15"/>
        </w:rPr>
        <w:t>{ "code": 0, "message": "success", "data": {}, "traceId": "...", "timestamp": "..."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鉴权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服务根路径，返回服务名与文档地址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/api/v1/auth/login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登录并签发 JWT（TTL 3600s）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/api/v1/auth/me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查询当前令牌身份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/api/v1/health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健康检查（数据库连通性与行数）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/api/v1/overview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总览 KPI（总样本、年份跨度、共病率、病种/州数）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/api/v1/chronic/prevalence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各慢病患病率（可按 year、state 过滤）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/api/v1/trend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指标年度趋势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/api/v1/risk/factors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危险因素暴露率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/api/v1/risk/stratify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风险分层分布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/api/v1/geo/states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州级指标（地图用，含 FIPS）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/api/v1/model/metrics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模型指标与跨模型对比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/api/v1/predict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在线个体风险预测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是</w:t>
            </w:r>
          </w:p>
        </w:tc>
      </w:tr>
    </w:tbl>
    <w:p/>
    <w:p>
      <w:r>
        <w:rPr>
          <w:rFonts w:ascii="宋体" w:hAnsi="宋体" w:eastAsia="宋体"/>
          <w:sz w:val="21"/>
        </w:rPr>
        <w:t>响应码契约：0 成功；400 参数不合法；401 鉴权失败（缺令牌/令牌无效/令牌过期）；404 资源不存在；500 服务内部错误。</w:t>
      </w:r>
    </w:p>
    <w:p>
      <w:r>
        <w:rPr>
          <w:rFonts w:ascii="宋体" w:hAnsi="宋体" w:eastAsia="宋体"/>
          <w:sz w:val="21"/>
        </w:rPr>
        <w:t>X-Response-Time 响应头记录服务端耗时，前端可直接展示（实测预测链路 8952.82ms 中的绝大部分是首次模型加载，后续请求为毫秒级）。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七、实施步骤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阶段 M0 · 立项与口径冻结（已完成）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读取两份课程要求，确认评价维度与必交材料；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确定数据源为 BRFSS LLCP 2019—2023，下载并核对行数（2,137,374）；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逐字段核对编码方向，把 8 类慢病、9 个危险因素、缺失约定写入 _设计规格.md 并冻结。</w:t>
      </w:r>
    </w:p>
    <w:p>
      <w:r>
        <w:rPr>
          <w:rFonts w:ascii="宋体" w:hAnsi="宋体" w:eastAsia="宋体"/>
          <w:b/>
          <w:sz w:val="21"/>
        </w:rPr>
        <w:t>产出</w:t>
      </w:r>
      <w:r>
        <w:rPr>
          <w:rFonts w:ascii="宋体" w:hAnsi="宋体" w:eastAsia="宋体"/>
          <w:sz w:val="21"/>
        </w:rPr>
        <w:t>：_设计规格.md。</w:t>
      </w:r>
      <w:r>
        <w:rPr>
          <w:rFonts w:ascii="宋体" w:hAnsi="宋体" w:eastAsia="宋体"/>
          <w:b/>
          <w:sz w:val="21"/>
        </w:rPr>
        <w:t>风险点</w:t>
      </w:r>
      <w:r>
        <w:rPr>
          <w:rFonts w:ascii="宋体" w:hAnsi="宋体" w:eastAsia="宋体"/>
          <w:sz w:val="21"/>
        </w:rPr>
        <w:t>：数据源可达性——CDC 官网 403，故先做了镜像可用性验证再动手。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阶段 M1 · 数据获取与清洗（已完成）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01_download.py 拉取 5 年 parquet，建立 SHA256 校验清单与原始副本；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02_clean_spark.py 在 Spark 内完成类型统一、编码归一、主键重算（seq_key）、派生列（chronic_count、multimorbidity、checkup_over_1y）；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落盘改用 Arrow 分批写，绕开缺 winutils.exe 的限制。</w:t>
      </w:r>
    </w:p>
    <w:p>
      <w:r>
        <w:rPr>
          <w:rFonts w:ascii="宋体" w:hAnsi="宋体" w:eastAsia="宋体"/>
          <w:b/>
          <w:sz w:val="21"/>
        </w:rPr>
        <w:t>产出</w:t>
      </w:r>
      <w:r>
        <w:rPr>
          <w:rFonts w:ascii="宋体" w:hAnsi="宋体" w:eastAsia="宋体"/>
          <w:sz w:val="21"/>
        </w:rPr>
        <w:t>：清洗后 2,136,402 行 × 37 列。</w:t>
      </w:r>
      <w:r>
        <w:rPr>
          <w:rFonts w:ascii="宋体" w:hAnsi="宋体" w:eastAsia="宋体"/>
          <w:b/>
          <w:sz w:val="21"/>
        </w:rPr>
        <w:t>踩坑</w:t>
      </w:r>
      <w:r>
        <w:rPr>
          <w:rFonts w:ascii="宋体" w:hAnsi="宋体" w:eastAsia="宋体"/>
          <w:sz w:val="21"/>
        </w:rPr>
        <w:t>：Spark 写 parquet 抛 HADOOP_HOME 异常；中文路径导致 JVM classpath 崩（改用 ASCII 目录联接 D:\jdk17、D:\sparkhome）；pandas 3.x 与 PySpark 4.2 不兼容（回退 2.3.3）。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阶段 M2 · 建库与指标体系（已完成）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06_build_db.py 建 1 事实表 + 6 维表 + 4 聚合表 + 2 元数据表，建 5 个索引；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聚合表从明细计算，不手工维护；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发现聚合表整体变空后，补写 scripts/rebuild_aggregates.py 支持从明细重建。</w:t>
      </w:r>
    </w:p>
    <w:p>
      <w:r>
        <w:rPr>
          <w:rFonts w:ascii="宋体" w:hAnsi="宋体" w:eastAsia="宋体"/>
          <w:b/>
          <w:sz w:val="21"/>
        </w:rPr>
        <w:t>产出</w:t>
      </w:r>
      <w:r>
        <w:rPr>
          <w:rFonts w:ascii="宋体" w:hAnsi="宋体" w:eastAsia="宋体"/>
          <w:sz w:val="21"/>
        </w:rPr>
        <w:t>：db/chronic_risk.db（361MB）。</w:t>
      </w:r>
      <w:r>
        <w:rPr>
          <w:rFonts w:ascii="宋体" w:hAnsi="宋体" w:eastAsia="宋体"/>
          <w:b/>
          <w:sz w:val="21"/>
        </w:rPr>
        <w:t>收益</w:t>
      </w:r>
      <w:r>
        <w:rPr>
          <w:rFonts w:ascii="宋体" w:hAnsi="宋体" w:eastAsia="宋体"/>
          <w:sz w:val="21"/>
        </w:rPr>
        <w:t>：/risk/factors 224ms→17ms，/risk/stratify 2322ms→37ms。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阶段 M3 · 统计分析与建模（已完成）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03_eda_spark.py 出 12 张图 + eda_metrics.json + hypothesis_metrics.json，含加权患病率、Logistic 调整后 OR、剂量反应关系；耗时 193.5s；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04_features.py 生成 Set-A（19）/Set-B（24）两套特征与 dataset.parquet；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05_train.py 训练 6 组 sklearn 模型，时间外推评估 + 5 折 CV；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sz w:val="21"/>
        </w:rPr>
        <w:t>07_spark_mllib.py 用 Spark MLlib 复现 LR/GBT 作为口径对照；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sz w:val="21"/>
        </w:rPr>
        <w:t>10_tuning.py 做网格调优实验；11_seaborn_figures.py 出统计图族。</w:t>
      </w:r>
    </w:p>
    <w:p>
      <w:r>
        <w:rPr>
          <w:rFonts w:ascii="宋体" w:hAnsi="宋体" w:eastAsia="宋体"/>
          <w:b/>
          <w:sz w:val="21"/>
        </w:rPr>
        <w:t>产出</w:t>
      </w:r>
      <w:r>
        <w:rPr>
          <w:rFonts w:ascii="宋体" w:hAnsi="宋体" w:eastAsia="宋体"/>
          <w:sz w:val="21"/>
        </w:rPr>
        <w:t>：LightGBM Set-A AUC 0.7740 / PR-AUC 0.4595 / F1 0.4619 / Brier 0.2019，CV 0.7815±0.0012。</w:t>
      </w:r>
      <w:r>
        <w:rPr>
          <w:rFonts w:ascii="宋体" w:hAnsi="宋体" w:eastAsia="宋体"/>
          <w:b/>
          <w:sz w:val="21"/>
        </w:rPr>
        <w:t>关键判断</w:t>
      </w:r>
      <w:r>
        <w:rPr>
          <w:rFonts w:ascii="宋体" w:hAnsi="宋体" w:eastAsia="宋体"/>
          <w:sz w:val="21"/>
        </w:rPr>
        <w:t>：调优后测试 AUC 反而 -0.0007，说明默认参数已接近该特征集上限，如实记录不粉饰。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阶段 M4 · 服务化与可视化（已完成）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api/ 实现 12 个路由、统一信封、X-Response-Time 中间件、JWT 鉴权、模型推理与干预规则匹配；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web/ 原生版 9 个面板 + 4 图联动下钻；web/vue/ 组件化版本；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tests/ 补至 43 项 pytest 用例。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阶段 M5 · 交付与验收（已完成）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sz w:val="21"/>
        </w:rPr>
        <w:t>生成报告与 PPT，逐条对齐模板章节；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sz w:val="21"/>
        </w:rPr>
        <w:t>构建便携版（内嵌 Python 3.12.10 + 依赖 407MB + 应用），可移植性在全新临时路径验证通过；</w:t>
      </w:r>
    </w:p>
    <w:p>
      <w:pPr>
        <w:ind w:left="420" w:hanging="420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sz w:val="21"/>
        </w:rPr>
        <w:t>GitHub 建仓上传（112 文件 / 11.08MB / 36 次提交）。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八、计划安排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里程碑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计划工期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依赖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M0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需求确认、数据源验证、口径冻结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 天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数据获取与 Spark 清洗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3 天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M0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星型模型建库、指标体系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 天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EDA、特征工程、双轨建模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4 天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API 服务与可视化前端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3 天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M5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报告、PPT、便携包、仓库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2 天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M3、M4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</w:tbl>
    <w:p/>
    <w:p>
      <w:r>
        <w:rPr>
          <w:rFonts w:ascii="宋体" w:hAnsi="宋体" w:eastAsia="宋体"/>
          <w:sz w:val="21"/>
        </w:rPr>
        <w:t>关键路径：M0 → M1 → M2 → M3。M4 与 M3 可并行（M4 只依赖 M2 的库结构），实际执行中正是并行推进的。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九、分工表</w:t>
      </w:r>
    </w:p>
    <w:p>
      <w:r>
        <w:rPr>
          <w:rFonts w:ascii="宋体" w:hAnsi="宋体" w:eastAsia="宋体"/>
          <w:sz w:val="21"/>
        </w:rPr>
        <w:t>本项目为单人完成，但按工程角色履行职责划分如下：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职责范围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承担人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对应产出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项目负责人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需求拆解、口径裁决、进度与质量把关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许宇翔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_设计规格.md、验收脚本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数据工程师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数据获取、清洗、主键与编码治理、建库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许宇翔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pipeline/01,02,06、db/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数据分析师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EDA、加权估计、Logistic 推断、假设检验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许宇翔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pipeline/03、eda_metrics.json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算法工程师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特征工程、模型训练、调优、泄漏排查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许宇翔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pipeline/04,05,07,10、model.joblib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后端工程师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API 契约、鉴权、查询层、推理层、测试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许宇翔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api/、tests/（43 项）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前端工程师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可视化面板、图表联动、组件化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许宇翔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web/、web/vue/</w:t>
            </w:r>
          </w:p>
        </w:tc>
      </w:tr>
      <w:tr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文档与交付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报告、PPT、便携包、仓库维护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许宇翔</w:t>
            </w:r>
          </w:p>
        </w:tc>
        <w:tc>
          <w:tcPr>
            <w:tcW w:type="dxa" w:w="232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报告 docx、PPT、发布包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协作方式说明</w:t>
      </w:r>
      <w:r>
        <w:rPr>
          <w:rFonts w:ascii="宋体" w:hAnsi="宋体" w:eastAsia="宋体"/>
          <w:sz w:val="21"/>
        </w:rPr>
        <w:t>：开发过程中尝试引入多智能体并行开发（数据工程/后端/前端/建模四路），但因运行环境限制该路径未能稳定工作，最终转为单人全栈推进。这一转折本身也记录在案——它解释了为什么各模块的代码风格高度一致，以及为什么口径裁决能如此彻底地贯彻到全部模块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十、风险与应对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应对措施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R1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公开数据源不可达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项目无法启动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预先探测多个镜像，固化 SHA256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CDC 官网 403，改用 HuggingFace 镜像成功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R2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口径误判导致结论反转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静默错误，模型仍高 AUC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口径冻结 + 逐字段核对方向 + 交叉复核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捕获 3 个致命缺陷（主键/编码方向/CHECKUP1）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R3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标签泄漏虚高指标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成果不可信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双特征集对照，锁定可解释特征集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识别出 0.0462 AUC 的泄漏代价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R4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分布式环境不可用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无法体现大数据能力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算子留在 Spark，仅落盘换通道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清洗与 EDA 全部在 Spark 内完成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R5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聚合表与明细不一致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接口数据错误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聚合表可从明细重建 + 重建脚本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发生一次整体清空，重建后修复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R6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交付环境缺依赖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答辩现场跑不起来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便携版内嵌 runtime + 可移植性验证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全新临时路径启动通过</w:t>
            </w:r>
          </w:p>
        </w:tc>
      </w:tr>
      <w:tr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R7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超大文件无法入库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仓库不完整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.gitignore 排除 361MB 数据库，仅提交 schema</w:t>
            </w:r>
          </w:p>
        </w:tc>
        <w:tc>
          <w:tcPr>
            <w:tcW w:type="dxa" w:w="18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仓库 11.08MB，克隆后可重建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sz w:val="28"/>
        </w:rPr>
        <w:t>十一、验收标准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验收项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判定方式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原始副本存在且行数 2,137,374，SHA256 可校验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SHA256SUMS.txt + 行数核对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清洗后 2,136,402 行，主键唯一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COUNT(*) = COUNT(DISTINCT seq_key)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口径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8 类慢病与 9 个危险因素方向一致（1=成立）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抽查暴露率与官方口径数量级吻合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分析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12 张 EDA 图 + 调整后 OR + 剂量反应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图与 eda_metrics.json 可复现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模型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时间外推 AUC ≥ 0.75，且为 Set-A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model_metrics 表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服务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12 个路由全部 code=0；预测需令牌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tests/ 43 项 + 冒烟脚本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可视化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9 个面板渲染无报错，四图可联动下钻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浏览器实测截图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文档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报告章节逐条对应模板；PPT 覆盖 9 项必备内容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章节标题核对</w:t>
            </w:r>
          </w:p>
        </w:tc>
      </w:tr>
      <w:tr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交付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便携版解压即用</w:t>
            </w:r>
          </w:p>
        </w:tc>
        <w:tc>
          <w:tcPr>
            <w:tcW w:type="dxa" w:w="30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sz w:val="18"/>
              </w:rPr>
              <w:t>全新路径启动 + 健康检查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sz w:val="28"/>
        </w:rPr>
        <w:t>附录 A · 目录结构</w:t>
      </w:r>
    </w:p>
    <w:p>
      <w:pPr>
        <w:spacing w:before="80" w:after="160" w:line="240" w:lineRule="auto"/>
      </w:pPr>
      <w:r>
        <w:rPr>
          <w:rFonts w:ascii="Consolas" w:hAnsi="Consolas" w:eastAsia="Consolas"/>
          <w:sz w:val="15"/>
        </w:rPr>
        <w:t>慢性病患者健康风险预测与干预/</w:t>
        <w:br/>
        <w:t>├─ api/            FastAPI 服务（main / contract / auth / repository / predictor）</w:t>
        <w:br/>
        <w:t>├─ pipeline/       01~11 数据处理与建模脚本 + run_all.py</w:t>
        <w:br/>
        <w:t>├─ scripts/        验收、建报告、建PPT、聚合重建、启动脚本</w:t>
        <w:br/>
        <w:t>├─ web/            原生版前端 + vue/ 组件化版 + 静态资源</w:t>
        <w:br/>
        <w:t>├─ crawler/        Scrapy 与 Selenium 采集练习</w:t>
        <w:br/>
        <w:t>├─ db/             schema.sql（数据库本体不入库）</w:t>
        <w:br/>
        <w:t>├─ data/           原始数据（.gitignore 排除）</w:t>
        <w:br/>
        <w:t>├─ artifacts/      图表与中间产物</w:t>
        <w:br/>
        <w:t>├─ docs/           8 份专项文档 + 本文档</w:t>
        <w:br/>
        <w:t>└─ tests/          pytest 用例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附录 B · 复现命令</w:t>
      </w:r>
    </w:p>
    <w:p>
      <w:pPr>
        <w:spacing w:before="80" w:after="160" w:line="240" w:lineRule="auto"/>
      </w:pPr>
      <w:r>
        <w:rPr>
          <w:rFonts w:ascii="Consolas" w:hAnsi="Consolas" w:eastAsia="Consolas"/>
          <w:sz w:val="15"/>
        </w:rPr>
        <w:t># 全链路重建（需先配置 JAVA_HOME=D:\jdk17, SPARK_HOME=D:\sparkhome）</w:t>
        <w:br/>
        <w:t>python pipeline/run_all.py</w:t>
        <w:br/>
        <w:br/>
        <w:t># 仅重建聚合表</w:t>
        <w:br/>
        <w:t>python scripts/rebuild_aggregates.py</w:t>
        <w:br/>
        <w:br/>
        <w:t># 启动服务</w:t>
        <w:br/>
        <w:t>uvicorn api.main:app --host 127.0.0.1 --port 8000</w:t>
        <w:br/>
        <w:br/>
        <w:t># 验收</w:t>
        <w:br/>
        <w:t>pytest tests/ -q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