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21B33"/>
          <w:sz w:val="56"/>
          <w:szCs w:val="56"/>
        </w:rPr>
        <w:t xml:space="preserve">Advocate Companion</w:t>
      </w:r>
    </w:p>
    <w:p>
      <w:pPr>
        <w:spacing w:after="800" w:before="200"/>
        <w:jc w:val="center"/>
      </w:pPr>
      <w:r>
        <w:rPr>
          <w:color w:val="8B5E34"/>
          <w:sz w:val="32"/>
          <w:szCs w:val="32"/>
        </w:rPr>
        <w:t xml:space="preserve">Software Requirements Specification</w:t>
      </w:r>
    </w:p>
    <w:p>
      <w:pPr>
        <w:spacing w:after="80"/>
        <w:jc w:val="center"/>
      </w:pPr>
      <w:r>
        <w:rPr>
          <w:i/>
          <w:iCs/>
          <w:color w:val="5B5B5B"/>
          <w:sz w:val="22"/>
          <w:szCs w:val="22"/>
        </w:rPr>
        <w:t xml:space="preserve">Practice management platform for Indian advocates and law chambers</w:t>
      </w:r>
    </w:p>
    <w:p>
      <w:pPr>
        <w:spacing w:before="800"/>
        <w:jc w:val="center"/>
      </w:pPr>
      <w:r>
        <w:rPr>
          <w:color w:val="5B5B5B"/>
          <w:sz w:val="20"/>
          <w:szCs w:val="20"/>
        </w:rPr>
        <w:t xml:space="preserve">Version 1.1 — as-built</w:t>
      </w:r>
    </w:p>
    <w:p>
      <w:pPr>
        <w:spacing w:after="80"/>
        <w:jc w:val="center"/>
      </w:pPr>
      <w:r>
        <w:rPr>
          <w:color w:val="5B5B5B"/>
          <w:sz w:val="20"/>
          <w:szCs w:val="20"/>
        </w:rPr>
        <w:t xml:space="preserve">Reflects the system implemented and verified in production as of this document's date. Revision 1.1 adds the review workflow, team invite/join flow, storage entitlement and WhatsApp integration entitlement.</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pStyle w:val="Heading2"/>
        <w:spacing w:after="140" w:before="280"/>
      </w:pPr>
      <w:r>
        <w:t xml:space="preserve">1.1 Purpose</w:t>
      </w:r>
    </w:p>
    <w:p>
      <w:pPr>
        <w:spacing w:after="160"/>
      </w:pPr>
      <w:r>
        <w:t xml:space="preserve">This document specifies the requirements for Advocate Companion, a multi-tenant practice-management platform for Indian advocates and law chambers, as actually designed and implemented. Where an earlier project brief or SRS existed, no such document was locatable in the project repository or associated file storage at the time of writing; this document was authored directly from the working system — its database schema, Row-Level Security policies, edge functions, and verified UI behaviour — rather than from a prior specification.</w:t>
      </w:r>
    </w:p>
    <w:p>
      <w:pPr>
        <w:spacing w:after="160"/>
      </w:pPr>
      <w:r>
        <w:t xml:space="preserve">Every requirement below reflects functionality that has been built, deployed to production, and verified working through direct testing (live UI interaction, direct API calls, and database inspection), not aspirational or planned functionality. Section 9 (“Known Gaps and Out-of-Scope Items”) explicitly lists capabilities implied by the product's domain that are not yet implemented, so this document does not silently overstate the system's current capability.</w:t>
      </w:r>
    </w:p>
    <w:p>
      <w:pPr>
        <w:pStyle w:val="Heading2"/>
        <w:spacing w:after="140" w:before="280"/>
      </w:pPr>
      <w:r>
        <w:t xml:space="preserve">1.2 Scope</w:t>
      </w:r>
    </w:p>
    <w:p>
      <w:pPr>
        <w:spacing w:after="160"/>
      </w:pPr>
      <w:r>
        <w:t xml:space="preserve">Advocate Companion allows a solo advocate or a small chamber to manage matters, clients, court hearings, billable time, invoices, and AI-assisted drafting, document analysis, dictation and legal research — all scoped to their own firm (“tenant”) and isolated from every other firm on the platform. A platform-operator admin console allows the platform owner to provision and manage tenant accounts and subscription plans.</w:t>
      </w:r>
    </w:p>
    <w:p>
      <w:pPr>
        <w:pStyle w:val="Heading2"/>
        <w:spacing w:after="140" w:before="280"/>
      </w:pPr>
      <w:r>
        <w:t xml:space="preserve">1.3 Definitions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shd w:fill="121B33" w:val="clear"/>
            <w:tcMar>
              <w:top w:type="dxa" w:w="80"/>
              <w:left w:type="dxa" w:w="100"/>
              <w:bottom w:type="dxa" w:w="80"/>
              <w:right w:type="dxa" w:w="100"/>
            </w:tcMar>
          </w:tcPr>
          <w:p>
            <w:r>
              <w:rPr>
                <w:b/>
                <w:bCs/>
                <w:color w:val="FFFFFF"/>
                <w:sz w:val="20"/>
                <w:szCs w:val="20"/>
              </w:rPr>
              <w:t xml:space="preserve">Term</w:t>
            </w:r>
          </w:p>
        </w:tc>
        <w:tc>
          <w:tcPr>
            <w:tcW w:type="dxa" w:w="7160"/>
            <w:shd w:fill="121B33" w:val="clear"/>
            <w:tcMar>
              <w:top w:type="dxa" w:w="80"/>
              <w:left w:type="dxa" w:w="100"/>
              <w:bottom w:type="dxa" w:w="80"/>
              <w:right w:type="dxa" w:w="100"/>
            </w:tcMar>
          </w:tcPr>
          <w:p>
            <w:r>
              <w:rPr>
                <w:b/>
                <w:bCs/>
                <w:color w:val="FFFFFF"/>
                <w:sz w:val="20"/>
                <w:szCs w:val="20"/>
              </w:rPr>
              <w:t xml:space="preserve">Meaning</w:t>
            </w:r>
          </w:p>
        </w:tc>
      </w:tr>
      <w:tr>
        <w:tc>
          <w:tcPr>
            <w:tcW w:type="dxa" w:w="2400"/>
            <w:tcMar>
              <w:top w:type="dxa" w:w="80"/>
              <w:left w:type="dxa" w:w="100"/>
              <w:bottom w:type="dxa" w:w="80"/>
              <w:right w:type="dxa" w:w="100"/>
            </w:tcMar>
          </w:tcPr>
          <w:p>
            <w:r>
              <w:rPr>
                <w:b w:val="false"/>
                <w:bCs w:val="false"/>
                <w:color w:val="000000"/>
                <w:sz w:val="20"/>
                <w:szCs w:val="20"/>
              </w:rPr>
              <w:t xml:space="preserve">Tenant</w:t>
            </w:r>
          </w:p>
        </w:tc>
        <w:tc>
          <w:tcPr>
            <w:tcW w:type="dxa" w:w="7160"/>
            <w:tcMar>
              <w:top w:type="dxa" w:w="80"/>
              <w:left w:type="dxa" w:w="100"/>
              <w:bottom w:type="dxa" w:w="80"/>
              <w:right w:type="dxa" w:w="100"/>
            </w:tcMar>
          </w:tcPr>
          <w:p>
            <w:r>
              <w:rPr>
                <w:b w:val="false"/>
                <w:bCs w:val="false"/>
                <w:color w:val="000000"/>
                <w:sz w:val="20"/>
                <w:szCs w:val="20"/>
              </w:rPr>
              <w:t xml:space="preserve">A firm/chamber. The unit of data isolation — every business record belongs to exactly one tenant.</w:t>
            </w:r>
          </w:p>
        </w:tc>
      </w:tr>
      <w:tr>
        <w:tc>
          <w:tcPr>
            <w:tcW w:type="dxa" w:w="2400"/>
            <w:tcMar>
              <w:top w:type="dxa" w:w="80"/>
              <w:left w:type="dxa" w:w="100"/>
              <w:bottom w:type="dxa" w:w="80"/>
              <w:right w:type="dxa" w:w="100"/>
            </w:tcMar>
          </w:tcPr>
          <w:p>
            <w:r>
              <w:rPr>
                <w:b w:val="false"/>
                <w:bCs w:val="false"/>
                <w:color w:val="000000"/>
                <w:sz w:val="20"/>
                <w:szCs w:val="20"/>
              </w:rPr>
              <w:t xml:space="preserve">Matter</w:t>
            </w:r>
          </w:p>
        </w:tc>
        <w:tc>
          <w:tcPr>
            <w:tcW w:type="dxa" w:w="7160"/>
            <w:tcMar>
              <w:top w:type="dxa" w:w="80"/>
              <w:left w:type="dxa" w:w="100"/>
              <w:bottom w:type="dxa" w:w="80"/>
              <w:right w:type="dxa" w:w="100"/>
            </w:tcMar>
          </w:tcPr>
          <w:p>
            <w:r>
              <w:rPr>
                <w:b w:val="false"/>
                <w:bCs w:val="false"/>
                <w:color w:val="000000"/>
                <w:sz w:val="20"/>
                <w:szCs w:val="20"/>
              </w:rPr>
              <w:t xml:space="preserve">A legal case/file tracked for a client.</w:t>
            </w:r>
          </w:p>
        </w:tc>
      </w:tr>
      <w:tr>
        <w:tc>
          <w:tcPr>
            <w:tcW w:type="dxa" w:w="2400"/>
            <w:tcMar>
              <w:top w:type="dxa" w:w="80"/>
              <w:left w:type="dxa" w:w="100"/>
              <w:bottom w:type="dxa" w:w="80"/>
              <w:right w:type="dxa" w:w="100"/>
            </w:tcMar>
          </w:tcPr>
          <w:p>
            <w:r>
              <w:rPr>
                <w:b w:val="false"/>
                <w:bCs w:val="false"/>
                <w:color w:val="000000"/>
                <w:sz w:val="20"/>
                <w:szCs w:val="20"/>
              </w:rPr>
              <w:t xml:space="preserve">Plan</w:t>
            </w:r>
          </w:p>
        </w:tc>
        <w:tc>
          <w:tcPr>
            <w:tcW w:type="dxa" w:w="7160"/>
            <w:tcMar>
              <w:top w:type="dxa" w:w="80"/>
              <w:left w:type="dxa" w:w="100"/>
              <w:bottom w:type="dxa" w:w="80"/>
              <w:right w:type="dxa" w:w="100"/>
            </w:tcMar>
          </w:tcPr>
          <w:p>
            <w:r>
              <w:rPr>
                <w:b w:val="false"/>
                <w:bCs w:val="false"/>
                <w:color w:val="000000"/>
                <w:sz w:val="20"/>
                <w:szCs w:val="20"/>
              </w:rPr>
              <w:t xml:space="preserve">A subscription tier (trial, starter, pro, enterprise) that determines usage limits.</w:t>
            </w:r>
          </w:p>
        </w:tc>
      </w:tr>
      <w:tr>
        <w:tc>
          <w:tcPr>
            <w:tcW w:type="dxa" w:w="2400"/>
            <w:tcMar>
              <w:top w:type="dxa" w:w="80"/>
              <w:left w:type="dxa" w:w="100"/>
              <w:bottom w:type="dxa" w:w="80"/>
              <w:right w:type="dxa" w:w="100"/>
            </w:tcMar>
          </w:tcPr>
          <w:p>
            <w:r>
              <w:rPr>
                <w:b w:val="false"/>
                <w:bCs w:val="false"/>
                <w:color w:val="000000"/>
                <w:sz w:val="20"/>
                <w:szCs w:val="20"/>
              </w:rPr>
              <w:t xml:space="preserve">RLS</w:t>
            </w:r>
          </w:p>
        </w:tc>
        <w:tc>
          <w:tcPr>
            <w:tcW w:type="dxa" w:w="7160"/>
            <w:tcMar>
              <w:top w:type="dxa" w:w="80"/>
              <w:left w:type="dxa" w:w="100"/>
              <w:bottom w:type="dxa" w:w="80"/>
              <w:right w:type="dxa" w:w="100"/>
            </w:tcMar>
          </w:tcPr>
          <w:p>
            <w:r>
              <w:rPr>
                <w:b w:val="false"/>
                <w:bCs w:val="false"/>
                <w:color w:val="000000"/>
                <w:sz w:val="20"/>
                <w:szCs w:val="20"/>
              </w:rPr>
              <w:t xml:space="preserve">Postgres Row-Level Security — the database-enforced access control mechanism used throughout.</w:t>
            </w:r>
          </w:p>
        </w:tc>
      </w:tr>
      <w:tr>
        <w:tc>
          <w:tcPr>
            <w:tcW w:type="dxa" w:w="2400"/>
            <w:tcMar>
              <w:top w:type="dxa" w:w="80"/>
              <w:left w:type="dxa" w:w="100"/>
              <w:bottom w:type="dxa" w:w="80"/>
              <w:right w:type="dxa" w:w="100"/>
            </w:tcMar>
          </w:tcPr>
          <w:p>
            <w:r>
              <w:rPr>
                <w:b w:val="false"/>
                <w:bCs w:val="false"/>
                <w:color w:val="000000"/>
                <w:sz w:val="20"/>
                <w:szCs w:val="20"/>
              </w:rPr>
              <w:t xml:space="preserve">Edge Function</w:t>
            </w:r>
          </w:p>
        </w:tc>
        <w:tc>
          <w:tcPr>
            <w:tcW w:type="dxa" w:w="7160"/>
            <w:tcMar>
              <w:top w:type="dxa" w:w="80"/>
              <w:left w:type="dxa" w:w="100"/>
              <w:bottom w:type="dxa" w:w="80"/>
              <w:right w:type="dxa" w:w="100"/>
            </w:tcMar>
          </w:tcPr>
          <w:p>
            <w:r>
              <w:rPr>
                <w:b w:val="false"/>
                <w:bCs w:val="false"/>
                <w:color w:val="000000"/>
                <w:sz w:val="20"/>
                <w:szCs w:val="20"/>
              </w:rPr>
              <w:t xml:space="preserve">A server-side Deno function (Supabase Edge Functions) used for any operation requiring a secret (AI provider API keys).</w:t>
            </w:r>
          </w:p>
        </w:tc>
      </w:tr>
    </w:tbl>
    <w:p>
      <w:pPr>
        <w:pStyle w:val="Heading1"/>
        <w:spacing w:after="200" w:before="400"/>
      </w:pPr>
      <w:r>
        <w:t xml:space="preserve">2. System Overview and Architecture</w:t>
      </w:r>
    </w:p>
    <w:p>
      <w:pPr>
        <w:spacing w:after="160"/>
      </w:pPr>
      <w:r>
        <w:t xml:space="preserve">The system is a single web application (TanStack Start, React 19, server-side rendered) deployed as a Cloudflare Worker, backed by a hosted Supabase project (PostgreSQL, Auth, Edge Functions). A Capacitor shell wraps the same web application for Android and iOS — there is no separate native codebase; the native app loads the live production URL over HTTPS rather than shipping a bundled offline build.</w:t>
      </w:r>
    </w:p>
    <w:p>
      <w:pPr>
        <w:spacing w:after="200" w:before="200"/>
      </w:pPr>
      <w:r>
        <w:rPr>
          <w:i/>
          <w:iCs/>
          <w:color w:val="5B5B5B"/>
        </w:rPr>
        <w:t xml:space="preserve">User (browser or Capacitor app) → Cloudflare Worker (SSR + static assets, security headers, CSP) → Supabase Auth (JWT) → PostgreSQL with Row-Level Security (tenant isolation) → Edge Functions (Deno, for AI-provider calls only) → OpenAI-compatible AI gateway.</w:t>
      </w:r>
    </w:p>
    <w:p>
      <w:pPr>
        <w:pStyle w:val="Heading2"/>
        <w:spacing w:after="140" w:before="280"/>
      </w:pPr>
      <w:r>
        <w:t xml:space="preserve">2.1 Technology Stack</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c>
          <w:tcPr>
            <w:tcW w:type="dxa" w:w="2600"/>
            <w:shd w:fill="121B33" w:val="clear"/>
            <w:tcMar>
              <w:top w:type="dxa" w:w="80"/>
              <w:left w:type="dxa" w:w="100"/>
              <w:bottom w:type="dxa" w:w="80"/>
              <w:right w:type="dxa" w:w="100"/>
            </w:tcMar>
          </w:tcPr>
          <w:p>
            <w:r>
              <w:rPr>
                <w:b/>
                <w:bCs/>
                <w:color w:val="FFFFFF"/>
                <w:sz w:val="20"/>
                <w:szCs w:val="20"/>
              </w:rPr>
              <w:t xml:space="preserve">Layer</w:t>
            </w:r>
          </w:p>
        </w:tc>
        <w:tc>
          <w:tcPr>
            <w:tcW w:type="dxa" w:w="6960"/>
            <w:shd w:fill="121B33" w:val="clear"/>
            <w:tcMar>
              <w:top w:type="dxa" w:w="80"/>
              <w:left w:type="dxa" w:w="100"/>
              <w:bottom w:type="dxa" w:w="80"/>
              <w:right w:type="dxa" w:w="100"/>
            </w:tcMar>
          </w:tcPr>
          <w:p>
            <w:r>
              <w:rPr>
                <w:b/>
                <w:bCs/>
                <w:color w:val="FFFFFF"/>
                <w:sz w:val="20"/>
                <w:szCs w:val="20"/>
              </w:rPr>
              <w:t xml:space="preserve">Technology</w:t>
            </w:r>
          </w:p>
        </w:tc>
      </w:tr>
      <w:tr>
        <w:tc>
          <w:tcPr>
            <w:tcW w:type="dxa" w:w="2600"/>
            <w:tcMar>
              <w:top w:type="dxa" w:w="80"/>
              <w:left w:type="dxa" w:w="100"/>
              <w:bottom w:type="dxa" w:w="80"/>
              <w:right w:type="dxa" w:w="100"/>
            </w:tcMar>
          </w:tcPr>
          <w:p>
            <w:r>
              <w:rPr>
                <w:b w:val="false"/>
                <w:bCs w:val="false"/>
                <w:color w:val="000000"/>
                <w:sz w:val="20"/>
                <w:szCs w:val="20"/>
              </w:rPr>
              <w:t xml:space="preserve">Frontend framework</w:t>
            </w:r>
          </w:p>
        </w:tc>
        <w:tc>
          <w:tcPr>
            <w:tcW w:type="dxa" w:w="6960"/>
            <w:tcMar>
              <w:top w:type="dxa" w:w="80"/>
              <w:left w:type="dxa" w:w="100"/>
              <w:bottom w:type="dxa" w:w="80"/>
              <w:right w:type="dxa" w:w="100"/>
            </w:tcMar>
          </w:tcPr>
          <w:p>
            <w:r>
              <w:rPr>
                <w:b w:val="false"/>
                <w:bCs w:val="false"/>
                <w:color w:val="000000"/>
                <w:sz w:val="20"/>
                <w:szCs w:val="20"/>
              </w:rPr>
              <w:t xml:space="preserve">TanStack Start (React 19) with TanStack Router, server-side rendering</w:t>
            </w:r>
          </w:p>
        </w:tc>
      </w:tr>
      <w:tr>
        <w:tc>
          <w:tcPr>
            <w:tcW w:type="dxa" w:w="2600"/>
            <w:tcMar>
              <w:top w:type="dxa" w:w="80"/>
              <w:left w:type="dxa" w:w="100"/>
              <w:bottom w:type="dxa" w:w="80"/>
              <w:right w:type="dxa" w:w="100"/>
            </w:tcMar>
          </w:tcPr>
          <w:p>
            <w:r>
              <w:rPr>
                <w:b w:val="false"/>
                <w:bCs w:val="false"/>
                <w:color w:val="000000"/>
                <w:sz w:val="20"/>
                <w:szCs w:val="20"/>
              </w:rPr>
              <w:t xml:space="preserve">Styling</w:t>
            </w:r>
          </w:p>
        </w:tc>
        <w:tc>
          <w:tcPr>
            <w:tcW w:type="dxa" w:w="6960"/>
            <w:tcMar>
              <w:top w:type="dxa" w:w="80"/>
              <w:left w:type="dxa" w:w="100"/>
              <w:bottom w:type="dxa" w:w="80"/>
              <w:right w:type="dxa" w:w="100"/>
            </w:tcMar>
          </w:tcPr>
          <w:p>
            <w:r>
              <w:rPr>
                <w:b w:val="false"/>
                <w:bCs w:val="false"/>
                <w:color w:val="000000"/>
                <w:sz w:val="20"/>
                <w:szCs w:val="20"/>
              </w:rPr>
              <w:t xml:space="preserve">Tailwind CSS v4</w:t>
            </w:r>
          </w:p>
        </w:tc>
      </w:tr>
      <w:tr>
        <w:tc>
          <w:tcPr>
            <w:tcW w:type="dxa" w:w="2600"/>
            <w:tcMar>
              <w:top w:type="dxa" w:w="80"/>
              <w:left w:type="dxa" w:w="100"/>
              <w:bottom w:type="dxa" w:w="80"/>
              <w:right w:type="dxa" w:w="100"/>
            </w:tcMar>
          </w:tcPr>
          <w:p>
            <w:r>
              <w:rPr>
                <w:b w:val="false"/>
                <w:bCs w:val="false"/>
                <w:color w:val="000000"/>
                <w:sz w:val="20"/>
                <w:szCs w:val="20"/>
              </w:rPr>
              <w:t xml:space="preserve">Deployment (web)</w:t>
            </w:r>
          </w:p>
        </w:tc>
        <w:tc>
          <w:tcPr>
            <w:tcW w:type="dxa" w:w="6960"/>
            <w:tcMar>
              <w:top w:type="dxa" w:w="80"/>
              <w:left w:type="dxa" w:w="100"/>
              <w:bottom w:type="dxa" w:w="80"/>
              <w:right w:type="dxa" w:w="100"/>
            </w:tcMar>
          </w:tcPr>
          <w:p>
            <w:r>
              <w:rPr>
                <w:b w:val="false"/>
                <w:bCs w:val="false"/>
                <w:color w:val="000000"/>
                <w:sz w:val="20"/>
                <w:szCs w:val="20"/>
              </w:rPr>
              <w:t xml:space="preserve">Cloudflare Workers, static assets via Workers Assets binding</w:t>
            </w:r>
          </w:p>
        </w:tc>
      </w:tr>
      <w:tr>
        <w:tc>
          <w:tcPr>
            <w:tcW w:type="dxa" w:w="2600"/>
            <w:tcMar>
              <w:top w:type="dxa" w:w="80"/>
              <w:left w:type="dxa" w:w="100"/>
              <w:bottom w:type="dxa" w:w="80"/>
              <w:right w:type="dxa" w:w="100"/>
            </w:tcMar>
          </w:tcPr>
          <w:p>
            <w:r>
              <w:rPr>
                <w:b w:val="false"/>
                <w:bCs w:val="false"/>
                <w:color w:val="000000"/>
                <w:sz w:val="20"/>
                <w:szCs w:val="20"/>
              </w:rPr>
              <w:t xml:space="preserve">Mobile shell</w:t>
            </w:r>
          </w:p>
        </w:tc>
        <w:tc>
          <w:tcPr>
            <w:tcW w:type="dxa" w:w="6960"/>
            <w:tcMar>
              <w:top w:type="dxa" w:w="80"/>
              <w:left w:type="dxa" w:w="100"/>
              <w:bottom w:type="dxa" w:w="80"/>
              <w:right w:type="dxa" w:w="100"/>
            </w:tcMar>
          </w:tcPr>
          <w:p>
            <w:r>
              <w:rPr>
                <w:b w:val="false"/>
                <w:bCs w:val="false"/>
                <w:color w:val="000000"/>
                <w:sz w:val="20"/>
                <w:szCs w:val="20"/>
              </w:rPr>
              <w:t xml:space="preserve">Capacitor 8 (Android + iOS), loads the deployed web app over HTTPS — no bundled offline build</w:t>
            </w:r>
          </w:p>
        </w:tc>
      </w:tr>
      <w:tr>
        <w:tc>
          <w:tcPr>
            <w:tcW w:type="dxa" w:w="2600"/>
            <w:tcMar>
              <w:top w:type="dxa" w:w="80"/>
              <w:left w:type="dxa" w:w="100"/>
              <w:bottom w:type="dxa" w:w="80"/>
              <w:right w:type="dxa" w:w="100"/>
            </w:tcMar>
          </w:tcPr>
          <w:p>
            <w:r>
              <w:rPr>
                <w:b w:val="false"/>
                <w:bCs w:val="false"/>
                <w:color w:val="000000"/>
                <w:sz w:val="20"/>
                <w:szCs w:val="20"/>
              </w:rPr>
              <w:t xml:space="preserve">Backend / database</w:t>
            </w:r>
          </w:p>
        </w:tc>
        <w:tc>
          <w:tcPr>
            <w:tcW w:type="dxa" w:w="6960"/>
            <w:tcMar>
              <w:top w:type="dxa" w:w="80"/>
              <w:left w:type="dxa" w:w="100"/>
              <w:bottom w:type="dxa" w:w="80"/>
              <w:right w:type="dxa" w:w="100"/>
            </w:tcMar>
          </w:tcPr>
          <w:p>
            <w:r>
              <w:rPr>
                <w:b w:val="false"/>
                <w:bCs w:val="false"/>
                <w:color w:val="000000"/>
                <w:sz w:val="20"/>
                <w:szCs w:val="20"/>
              </w:rPr>
              <w:t xml:space="preserve">Supabase (hosted PostgreSQL 17), Row-Level Security on every table</w:t>
            </w:r>
          </w:p>
        </w:tc>
      </w:tr>
      <w:tr>
        <w:tc>
          <w:tcPr>
            <w:tcW w:type="dxa" w:w="2600"/>
            <w:tcMar>
              <w:top w:type="dxa" w:w="80"/>
              <w:left w:type="dxa" w:w="100"/>
              <w:bottom w:type="dxa" w:w="80"/>
              <w:right w:type="dxa" w:w="100"/>
            </w:tcMar>
          </w:tcPr>
          <w:p>
            <w:r>
              <w:rPr>
                <w:b w:val="false"/>
                <w:bCs w:val="false"/>
                <w:color w:val="000000"/>
                <w:sz w:val="20"/>
                <w:szCs w:val="20"/>
              </w:rPr>
              <w:t xml:space="preserve">Authentication</w:t>
            </w:r>
          </w:p>
        </w:tc>
        <w:tc>
          <w:tcPr>
            <w:tcW w:type="dxa" w:w="6960"/>
            <w:tcMar>
              <w:top w:type="dxa" w:w="80"/>
              <w:left w:type="dxa" w:w="100"/>
              <w:bottom w:type="dxa" w:w="80"/>
              <w:right w:type="dxa" w:w="100"/>
            </w:tcMar>
          </w:tcPr>
          <w:p>
            <w:r>
              <w:rPr>
                <w:b w:val="false"/>
                <w:bCs w:val="false"/>
                <w:color w:val="000000"/>
                <w:sz w:val="20"/>
                <w:szCs w:val="20"/>
              </w:rPr>
              <w:t xml:space="preserve">Supabase Auth (GoTrue) — email/password with required email confirmation, Google OAuth</w:t>
            </w:r>
          </w:p>
        </w:tc>
      </w:tr>
      <w:tr>
        <w:tc>
          <w:tcPr>
            <w:tcW w:type="dxa" w:w="2600"/>
            <w:tcMar>
              <w:top w:type="dxa" w:w="80"/>
              <w:left w:type="dxa" w:w="100"/>
              <w:bottom w:type="dxa" w:w="80"/>
              <w:right w:type="dxa" w:w="100"/>
            </w:tcMar>
          </w:tcPr>
          <w:p>
            <w:r>
              <w:rPr>
                <w:b w:val="false"/>
                <w:bCs w:val="false"/>
                <w:color w:val="000000"/>
                <w:sz w:val="20"/>
                <w:szCs w:val="20"/>
              </w:rPr>
              <w:t xml:space="preserve">Server-side business logic</w:t>
            </w:r>
          </w:p>
        </w:tc>
        <w:tc>
          <w:tcPr>
            <w:tcW w:type="dxa" w:w="6960"/>
            <w:tcMar>
              <w:top w:type="dxa" w:w="80"/>
              <w:left w:type="dxa" w:w="100"/>
              <w:bottom w:type="dxa" w:w="80"/>
              <w:right w:type="dxa" w:w="100"/>
            </w:tcMar>
          </w:tcPr>
          <w:p>
            <w:r>
              <w:rPr>
                <w:b w:val="false"/>
                <w:bCs w:val="false"/>
                <w:color w:val="000000"/>
                <w:sz w:val="20"/>
                <w:szCs w:val="20"/>
              </w:rPr>
              <w:t xml:space="preserve">TanStack Start server functions (RLS-scoped, no secrets) and Supabase Edge Functions (Deno, hold the AI provider API key)</w:t>
            </w:r>
          </w:p>
        </w:tc>
      </w:tr>
      <w:tr>
        <w:tc>
          <w:tcPr>
            <w:tcW w:type="dxa" w:w="2600"/>
            <w:tcMar>
              <w:top w:type="dxa" w:w="80"/>
              <w:left w:type="dxa" w:w="100"/>
              <w:bottom w:type="dxa" w:w="80"/>
              <w:right w:type="dxa" w:w="100"/>
            </w:tcMar>
          </w:tcPr>
          <w:p>
            <w:r>
              <w:rPr>
                <w:b w:val="false"/>
                <w:bCs w:val="false"/>
                <w:color w:val="000000"/>
                <w:sz w:val="20"/>
                <w:szCs w:val="20"/>
              </w:rPr>
              <w:t xml:space="preserve">AI provider</w:t>
            </w:r>
          </w:p>
        </w:tc>
        <w:tc>
          <w:tcPr>
            <w:tcW w:type="dxa" w:w="6960"/>
            <w:tcMar>
              <w:top w:type="dxa" w:w="80"/>
              <w:left w:type="dxa" w:w="100"/>
              <w:bottom w:type="dxa" w:w="80"/>
              <w:right w:type="dxa" w:w="100"/>
            </w:tcMar>
          </w:tcPr>
          <w:p>
            <w:r>
              <w:rPr>
                <w:b w:val="false"/>
                <w:bCs w:val="false"/>
                <w:color w:val="000000"/>
                <w:sz w:val="20"/>
                <w:szCs w:val="20"/>
              </w:rPr>
              <w:t xml:space="preserve">OpenAI-compatible chat/completions, audio/transcriptions and vision endpoints, configured via environment variable (currently api.openai.com)</w:t>
            </w:r>
          </w:p>
        </w:tc>
      </w:tr>
      <w:tr>
        <w:tc>
          <w:tcPr>
            <w:tcW w:type="dxa" w:w="2600"/>
            <w:tcMar>
              <w:top w:type="dxa" w:w="80"/>
              <w:left w:type="dxa" w:w="100"/>
              <w:bottom w:type="dxa" w:w="80"/>
              <w:right w:type="dxa" w:w="100"/>
            </w:tcMar>
          </w:tcPr>
          <w:p>
            <w:r>
              <w:rPr>
                <w:b w:val="false"/>
                <w:bCs w:val="false"/>
                <w:color w:val="000000"/>
                <w:sz w:val="20"/>
                <w:szCs w:val="20"/>
              </w:rPr>
              <w:t xml:space="preserve">CI</w:t>
            </w:r>
          </w:p>
        </w:tc>
        <w:tc>
          <w:tcPr>
            <w:tcW w:type="dxa" w:w="6960"/>
            <w:tcMar>
              <w:top w:type="dxa" w:w="80"/>
              <w:left w:type="dxa" w:w="100"/>
              <w:bottom w:type="dxa" w:w="80"/>
              <w:right w:type="dxa" w:w="100"/>
            </w:tcMar>
          </w:tcPr>
          <w:p>
            <w:r>
              <w:rPr>
                <w:b w:val="false"/>
                <w:bCs w:val="false"/>
                <w:color w:val="000000"/>
                <w:sz w:val="20"/>
                <w:szCs w:val="20"/>
              </w:rPr>
              <w:t xml:space="preserve">GitHub Actions — lint and build on every push/PR to main</w:t>
            </w:r>
          </w:p>
        </w:tc>
      </w:tr>
    </w:tbl>
    <w:p>
      <w:pPr>
        <w:pStyle w:val="Heading2"/>
        <w:spacing w:after="140" w:before="280"/>
      </w:pPr>
      <w:r>
        <w:t xml:space="preserve">2.2 Deployment Topology</w:t>
      </w:r>
    </w:p>
    <w:p>
      <w:pPr>
        <w:pStyle w:val="ListParagraph"/>
        <w:numPr>
          <w:ilvl w:val="0"/>
          <w:numId w:val="1"/>
        </w:numPr>
        <w:spacing w:after="80"/>
      </w:pPr>
      <w:r>
        <w:t xml:space="preserve">Production web app: Cloudflare Worker at the project's assigned workers.dev domain.</w:t>
      </w:r>
    </w:p>
    <w:p>
      <w:pPr>
        <w:pStyle w:val="ListParagraph"/>
        <w:numPr>
          <w:ilvl w:val="0"/>
          <w:numId w:val="1"/>
        </w:numPr>
        <w:spacing w:after="80"/>
      </w:pPr>
      <w:r>
        <w:t xml:space="preserve">Database, Auth, and Edge Functions: a single hosted Supabase project (region: ap-south-1 / Mumbai).</w:t>
      </w:r>
    </w:p>
    <w:p>
      <w:pPr>
        <w:pStyle w:val="ListParagraph"/>
        <w:numPr>
          <w:ilvl w:val="0"/>
          <w:numId w:val="1"/>
        </w:numPr>
        <w:spacing w:after="80"/>
      </w:pPr>
      <w:r>
        <w:t xml:space="preserve">No self-hosted infrastructure, containers, or Kubernetes — the entire backend is managed hosted services.</w:t>
      </w:r>
    </w:p>
    <w:p>
      <w:pPr>
        <w:pStyle w:val="ListParagraph"/>
        <w:numPr>
          <w:ilvl w:val="0"/>
          <w:numId w:val="1"/>
        </w:numPr>
        <w:spacing w:after="80"/>
      </w:pPr>
      <w:r>
        <w:t xml:space="preserve">No object storage (S3/R2/Supabase Storage) is provisioned — see Section 9.</w:t>
      </w:r>
    </w:p>
    <w:p>
      <w:pPr>
        <w:pStyle w:val="Heading1"/>
        <w:spacing w:after="200" w:before="400"/>
      </w:pPr>
      <w:r>
        <w:t xml:space="preserve">3. Multi-Tenant Data Model</w:t>
      </w:r>
    </w:p>
    <w:p>
      <w:pPr>
        <w:spacing w:after="160"/>
      </w:pPr>
      <w:r>
        <w:t xml:space="preserve">Tenant isolation is the platform's foundational security property and is enforced at the database layer via PostgreSQL Row-Level Security, not in application code. Every tenant-owned table carries a tenant_id column whose value is always derived server-side (via a SQL DEFAULT expression or trigger reading the authenticated user's own profile) — it is never accepted as a value the client supplies, and RLS policies reject any INSERT/UPDATE that attempts to set it to a mismatched value.</w:t>
      </w:r>
    </w:p>
    <w:p>
      <w:pPr>
        <w:pStyle w:val="Heading2"/>
        <w:spacing w:after="140" w:before="280"/>
      </w:pPr>
      <w:r>
        <w:t xml:space="preserve">3.1 Core Entities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60"/>
      </w:tblGrid>
      <w:tr>
        <w:tc>
          <w:tcPr>
            <w:tcW w:type="dxa" w:w="2400"/>
            <w:shd w:fill="121B33" w:val="clear"/>
            <w:tcMar>
              <w:top w:type="dxa" w:w="80"/>
              <w:left w:type="dxa" w:w="100"/>
              <w:bottom w:type="dxa" w:w="80"/>
              <w:right w:type="dxa" w:w="100"/>
            </w:tcMar>
          </w:tcPr>
          <w:p>
            <w:r>
              <w:rPr>
                <w:b/>
                <w:bCs/>
                <w:color w:val="FFFFFF"/>
                <w:sz w:val="20"/>
                <w:szCs w:val="20"/>
              </w:rPr>
              <w:t xml:space="preserve">Table</w:t>
            </w:r>
          </w:p>
        </w:tc>
        <w:tc>
          <w:tcPr>
            <w:tcW w:type="dxa" w:w="3600"/>
            <w:shd w:fill="121B33" w:val="clear"/>
            <w:tcMar>
              <w:top w:type="dxa" w:w="80"/>
              <w:left w:type="dxa" w:w="100"/>
              <w:bottom w:type="dxa" w:w="80"/>
              <w:right w:type="dxa" w:w="100"/>
            </w:tcMar>
          </w:tcPr>
          <w:p>
            <w:r>
              <w:rPr>
                <w:b/>
                <w:bCs/>
                <w:color w:val="FFFFFF"/>
                <w:sz w:val="20"/>
                <w:szCs w:val="20"/>
              </w:rPr>
              <w:t xml:space="preserve">Purpose</w:t>
            </w:r>
          </w:p>
        </w:tc>
        <w:tc>
          <w:tcPr>
            <w:tcW w:type="dxa" w:w="3560"/>
            <w:shd w:fill="121B33" w:val="clear"/>
            <w:tcMar>
              <w:top w:type="dxa" w:w="80"/>
              <w:left w:type="dxa" w:w="100"/>
              <w:bottom w:type="dxa" w:w="80"/>
              <w:right w:type="dxa" w:w="100"/>
            </w:tcMar>
          </w:tcPr>
          <w:p>
            <w:r>
              <w:rPr>
                <w:b/>
                <w:bCs/>
                <w:color w:val="FFFFFF"/>
                <w:sz w:val="20"/>
                <w:szCs w:val="20"/>
              </w:rPr>
              <w:t xml:space="preserve">Visibility</w:t>
            </w:r>
          </w:p>
        </w:tc>
      </w:tr>
      <w:tr>
        <w:tc>
          <w:tcPr>
            <w:tcW w:type="dxa" w:w="2400"/>
            <w:tcMar>
              <w:top w:type="dxa" w:w="80"/>
              <w:left w:type="dxa" w:w="100"/>
              <w:bottom w:type="dxa" w:w="80"/>
              <w:right w:type="dxa" w:w="100"/>
            </w:tcMar>
          </w:tcPr>
          <w:p>
            <w:r>
              <w:rPr>
                <w:b w:val="false"/>
                <w:bCs w:val="false"/>
                <w:color w:val="000000"/>
                <w:sz w:val="20"/>
                <w:szCs w:val="20"/>
              </w:rPr>
              <w:t xml:space="preserve">tenants</w:t>
            </w:r>
          </w:p>
        </w:tc>
        <w:tc>
          <w:tcPr>
            <w:tcW w:type="dxa" w:w="3600"/>
            <w:tcMar>
              <w:top w:type="dxa" w:w="80"/>
              <w:left w:type="dxa" w:w="100"/>
              <w:bottom w:type="dxa" w:w="80"/>
              <w:right w:type="dxa" w:w="100"/>
            </w:tcMar>
          </w:tcPr>
          <w:p>
            <w:r>
              <w:rPr>
                <w:b w:val="false"/>
                <w:bCs w:val="false"/>
                <w:color w:val="000000"/>
                <w:sz w:val="20"/>
                <w:szCs w:val="20"/>
              </w:rPr>
              <w:t xml:space="preserve">One row per firm/chamber.</w:t>
            </w:r>
          </w:p>
        </w:tc>
        <w:tc>
          <w:tcPr>
            <w:tcW w:type="dxa" w:w="3560"/>
            <w:tcMar>
              <w:top w:type="dxa" w:w="80"/>
              <w:left w:type="dxa" w:w="100"/>
              <w:bottom w:type="dxa" w:w="80"/>
              <w:right w:type="dxa" w:w="100"/>
            </w:tcMar>
          </w:tcPr>
          <w:p>
            <w:r>
              <w:rPr>
                <w:b w:val="false"/>
                <w:bCs w:val="false"/>
                <w:color w:val="000000"/>
                <w:sz w:val="20"/>
                <w:szCs w:val="20"/>
              </w:rPr>
              <w:t xml:space="preserve">Members see own tenant; platform admins see all.</w:t>
            </w:r>
          </w:p>
        </w:tc>
      </w:tr>
      <w:tr>
        <w:tc>
          <w:tcPr>
            <w:tcW w:type="dxa" w:w="2400"/>
            <w:tcMar>
              <w:top w:type="dxa" w:w="80"/>
              <w:left w:type="dxa" w:w="100"/>
              <w:bottom w:type="dxa" w:w="80"/>
              <w:right w:type="dxa" w:w="100"/>
            </w:tcMar>
          </w:tcPr>
          <w:p>
            <w:r>
              <w:rPr>
                <w:b w:val="false"/>
                <w:bCs w:val="false"/>
                <w:color w:val="000000"/>
                <w:sz w:val="20"/>
                <w:szCs w:val="20"/>
              </w:rPr>
              <w:t xml:space="preserve">licenses</w:t>
            </w:r>
          </w:p>
        </w:tc>
        <w:tc>
          <w:tcPr>
            <w:tcW w:type="dxa" w:w="3600"/>
            <w:tcMar>
              <w:top w:type="dxa" w:w="80"/>
              <w:left w:type="dxa" w:w="100"/>
              <w:bottom w:type="dxa" w:w="80"/>
              <w:right w:type="dxa" w:w="100"/>
            </w:tcMar>
          </w:tcPr>
          <w:p>
            <w:r>
              <w:rPr>
                <w:b w:val="false"/>
                <w:bCs w:val="false"/>
                <w:color w:val="000000"/>
                <w:sz w:val="20"/>
                <w:szCs w:val="20"/>
              </w:rPr>
              <w:t xml:space="preserve">Subscription plan and status per tenant (1:1).</w:t>
            </w:r>
          </w:p>
        </w:tc>
        <w:tc>
          <w:tcPr>
            <w:tcW w:type="dxa" w:w="3560"/>
            <w:tcMar>
              <w:top w:type="dxa" w:w="80"/>
              <w:left w:type="dxa" w:w="100"/>
              <w:bottom w:type="dxa" w:w="80"/>
              <w:right w:type="dxa" w:w="100"/>
            </w:tcMar>
          </w:tcPr>
          <w:p>
            <w:r>
              <w:rPr>
                <w:b w:val="false"/>
                <w:bCs w:val="false"/>
                <w:color w:val="000000"/>
                <w:sz w:val="20"/>
                <w:szCs w:val="20"/>
              </w:rPr>
              <w:t xml:space="preserve">Members see own; platform admins manage all.</w:t>
            </w:r>
          </w:p>
        </w:tc>
      </w:tr>
      <w:tr>
        <w:tc>
          <w:tcPr>
            <w:tcW w:type="dxa" w:w="2400"/>
            <w:tcMar>
              <w:top w:type="dxa" w:w="80"/>
              <w:left w:type="dxa" w:w="100"/>
              <w:bottom w:type="dxa" w:w="80"/>
              <w:right w:type="dxa" w:w="100"/>
            </w:tcMar>
          </w:tcPr>
          <w:p>
            <w:r>
              <w:rPr>
                <w:b w:val="false"/>
                <w:bCs w:val="false"/>
                <w:color w:val="000000"/>
                <w:sz w:val="20"/>
                <w:szCs w:val="20"/>
              </w:rPr>
              <w:t xml:space="preserve">profiles</w:t>
            </w:r>
          </w:p>
        </w:tc>
        <w:tc>
          <w:tcPr>
            <w:tcW w:type="dxa" w:w="3600"/>
            <w:tcMar>
              <w:top w:type="dxa" w:w="80"/>
              <w:left w:type="dxa" w:w="100"/>
              <w:bottom w:type="dxa" w:w="80"/>
              <w:right w:type="dxa" w:w="100"/>
            </w:tcMar>
          </w:tcPr>
          <w:p>
            <w:r>
              <w:rPr>
                <w:b w:val="false"/>
                <w:bCs w:val="false"/>
                <w:color w:val="000000"/>
                <w:sz w:val="20"/>
                <w:szCs w:val="20"/>
              </w:rPr>
              <w:t xml:space="preserve">One row per user; carries tenant_id and tenant_role (owner/admin/member).</w:t>
            </w:r>
          </w:p>
        </w:tc>
        <w:tc>
          <w:tcPr>
            <w:tcW w:type="dxa" w:w="3560"/>
            <w:tcMar>
              <w:top w:type="dxa" w:w="80"/>
              <w:left w:type="dxa" w:w="100"/>
              <w:bottom w:type="dxa" w:w="80"/>
              <w:right w:type="dxa" w:w="100"/>
            </w:tcMar>
          </w:tcPr>
          <w:p>
            <w:r>
              <w:rPr>
                <w:b w:val="false"/>
                <w:bCs w:val="false"/>
                <w:color w:val="000000"/>
                <w:sz w:val="20"/>
                <w:szCs w:val="20"/>
              </w:rPr>
              <w:t xml:space="preserve">Self only for column reads relevant to identity; tenant_role/tenant_id are not self-writable.</w:t>
            </w:r>
          </w:p>
        </w:tc>
      </w:tr>
      <w:tr>
        <w:tc>
          <w:tcPr>
            <w:tcW w:type="dxa" w:w="2400"/>
            <w:tcMar>
              <w:top w:type="dxa" w:w="80"/>
              <w:left w:type="dxa" w:w="100"/>
              <w:bottom w:type="dxa" w:w="80"/>
              <w:right w:type="dxa" w:w="100"/>
            </w:tcMar>
          </w:tcPr>
          <w:p>
            <w:r>
              <w:rPr>
                <w:b w:val="false"/>
                <w:bCs w:val="false"/>
                <w:color w:val="000000"/>
                <w:sz w:val="20"/>
                <w:szCs w:val="20"/>
              </w:rPr>
              <w:t xml:space="preserve">matters</w:t>
            </w:r>
          </w:p>
        </w:tc>
        <w:tc>
          <w:tcPr>
            <w:tcW w:type="dxa" w:w="3600"/>
            <w:tcMar>
              <w:top w:type="dxa" w:w="80"/>
              <w:left w:type="dxa" w:w="100"/>
              <w:bottom w:type="dxa" w:w="80"/>
              <w:right w:type="dxa" w:w="100"/>
            </w:tcMar>
          </w:tcPr>
          <w:p>
            <w:r>
              <w:rPr>
                <w:b w:val="false"/>
                <w:bCs w:val="false"/>
                <w:color w:val="000000"/>
                <w:sz w:val="20"/>
                <w:szCs w:val="20"/>
              </w:rPr>
              <w:t xml:space="preserve">Legal matters/cases.</w:t>
            </w:r>
          </w:p>
        </w:tc>
        <w:tc>
          <w:tcPr>
            <w:tcW w:type="dxa" w:w="3560"/>
            <w:tcMar>
              <w:top w:type="dxa" w:w="80"/>
              <w:left w:type="dxa" w:w="100"/>
              <w:bottom w:type="dxa" w:w="80"/>
              <w:right w:type="dxa" w:w="100"/>
            </w:tcMar>
          </w:tcPr>
          <w:p>
            <w:r>
              <w:rPr>
                <w:b w:val="false"/>
                <w:bCs w:val="false"/>
                <w:color w:val="000000"/>
                <w:sz w:val="20"/>
                <w:szCs w:val="20"/>
              </w:rPr>
              <w:t xml:space="preserve">Tenant-wide read/write; delete restricted to tenant owner/admin.</w:t>
            </w:r>
          </w:p>
        </w:tc>
      </w:tr>
      <w:tr>
        <w:tc>
          <w:tcPr>
            <w:tcW w:type="dxa" w:w="2400"/>
            <w:tcMar>
              <w:top w:type="dxa" w:w="80"/>
              <w:left w:type="dxa" w:w="100"/>
              <w:bottom w:type="dxa" w:w="80"/>
              <w:right w:type="dxa" w:w="100"/>
            </w:tcMar>
          </w:tcPr>
          <w:p>
            <w:r>
              <w:rPr>
                <w:b w:val="false"/>
                <w:bCs w:val="false"/>
                <w:color w:val="000000"/>
                <w:sz w:val="20"/>
                <w:szCs w:val="20"/>
              </w:rPr>
              <w:t xml:space="preserve">clients</w:t>
            </w:r>
          </w:p>
        </w:tc>
        <w:tc>
          <w:tcPr>
            <w:tcW w:type="dxa" w:w="3600"/>
            <w:tcMar>
              <w:top w:type="dxa" w:w="80"/>
              <w:left w:type="dxa" w:w="100"/>
              <w:bottom w:type="dxa" w:w="80"/>
              <w:right w:type="dxa" w:w="100"/>
            </w:tcMar>
          </w:tcPr>
          <w:p>
            <w:r>
              <w:rPr>
                <w:b w:val="false"/>
                <w:bCs w:val="false"/>
                <w:color w:val="000000"/>
                <w:sz w:val="20"/>
                <w:szCs w:val="20"/>
              </w:rPr>
              <w:t xml:space="preserve">Client register.</w:t>
            </w:r>
          </w:p>
        </w:tc>
        <w:tc>
          <w:tcPr>
            <w:tcW w:type="dxa" w:w="3560"/>
            <w:tcMar>
              <w:top w:type="dxa" w:w="80"/>
              <w:left w:type="dxa" w:w="100"/>
              <w:bottom w:type="dxa" w:w="80"/>
              <w:right w:type="dxa" w:w="100"/>
            </w:tcMar>
          </w:tcPr>
          <w:p>
            <w:r>
              <w:rPr>
                <w:b w:val="false"/>
                <w:bCs w:val="false"/>
                <w:color w:val="000000"/>
                <w:sz w:val="20"/>
                <w:szCs w:val="20"/>
              </w:rPr>
              <w:t xml:space="preserve">Tenant-wide read/write; delete restricted to tenant owner/admin.</w:t>
            </w:r>
          </w:p>
        </w:tc>
      </w:tr>
      <w:tr>
        <w:tc>
          <w:tcPr>
            <w:tcW w:type="dxa" w:w="2400"/>
            <w:tcMar>
              <w:top w:type="dxa" w:w="80"/>
              <w:left w:type="dxa" w:w="100"/>
              <w:bottom w:type="dxa" w:w="80"/>
              <w:right w:type="dxa" w:w="100"/>
            </w:tcMar>
          </w:tcPr>
          <w:p>
            <w:r>
              <w:rPr>
                <w:b w:val="false"/>
                <w:bCs w:val="false"/>
                <w:color w:val="000000"/>
                <w:sz w:val="20"/>
                <w:szCs w:val="20"/>
              </w:rPr>
              <w:t xml:space="preserve">hearings</w:t>
            </w:r>
          </w:p>
        </w:tc>
        <w:tc>
          <w:tcPr>
            <w:tcW w:type="dxa" w:w="3600"/>
            <w:tcMar>
              <w:top w:type="dxa" w:w="80"/>
              <w:left w:type="dxa" w:w="100"/>
              <w:bottom w:type="dxa" w:w="80"/>
              <w:right w:type="dxa" w:w="100"/>
            </w:tcMar>
          </w:tcPr>
          <w:p>
            <w:r>
              <w:rPr>
                <w:b w:val="false"/>
                <w:bCs w:val="false"/>
                <w:color w:val="000000"/>
                <w:sz w:val="20"/>
                <w:szCs w:val="20"/>
              </w:rPr>
              <w:t xml:space="preserve">Court diary entries.</w:t>
            </w:r>
          </w:p>
        </w:tc>
        <w:tc>
          <w:tcPr>
            <w:tcW w:type="dxa" w:w="3560"/>
            <w:tcMar>
              <w:top w:type="dxa" w:w="80"/>
              <w:left w:type="dxa" w:w="100"/>
              <w:bottom w:type="dxa" w:w="80"/>
              <w:right w:type="dxa" w:w="100"/>
            </w:tcMar>
          </w:tcPr>
          <w:p>
            <w:r>
              <w:rPr>
                <w:b w:val="false"/>
                <w:bCs w:val="false"/>
                <w:color w:val="000000"/>
                <w:sz w:val="20"/>
                <w:szCs w:val="20"/>
              </w:rPr>
              <w:t xml:space="preserve">Tenant-wide read/write; delete restricted to tenant owner/admin.</w:t>
            </w:r>
          </w:p>
        </w:tc>
      </w:tr>
      <w:tr>
        <w:tc>
          <w:tcPr>
            <w:tcW w:type="dxa" w:w="2400"/>
            <w:tcMar>
              <w:top w:type="dxa" w:w="80"/>
              <w:left w:type="dxa" w:w="100"/>
              <w:bottom w:type="dxa" w:w="80"/>
              <w:right w:type="dxa" w:w="100"/>
            </w:tcMar>
          </w:tcPr>
          <w:p>
            <w:r>
              <w:rPr>
                <w:b w:val="false"/>
                <w:bCs w:val="false"/>
                <w:color w:val="000000"/>
                <w:sz w:val="20"/>
                <w:szCs w:val="20"/>
              </w:rPr>
              <w:t xml:space="preserve">time_entries / invoices</w:t>
            </w:r>
          </w:p>
        </w:tc>
        <w:tc>
          <w:tcPr>
            <w:tcW w:type="dxa" w:w="3600"/>
            <w:tcMar>
              <w:top w:type="dxa" w:w="80"/>
              <w:left w:type="dxa" w:w="100"/>
              <w:bottom w:type="dxa" w:w="80"/>
              <w:right w:type="dxa" w:w="100"/>
            </w:tcMar>
          </w:tcPr>
          <w:p>
            <w:r>
              <w:rPr>
                <w:b w:val="false"/>
                <w:bCs w:val="false"/>
                <w:color w:val="000000"/>
                <w:sz w:val="20"/>
                <w:szCs w:val="20"/>
              </w:rPr>
              <w:t xml:space="preserve">Billable time and manually-tracked invoices.</w:t>
            </w:r>
          </w:p>
        </w:tc>
        <w:tc>
          <w:tcPr>
            <w:tcW w:type="dxa" w:w="3560"/>
            <w:tcMar>
              <w:top w:type="dxa" w:w="80"/>
              <w:left w:type="dxa" w:w="100"/>
              <w:bottom w:type="dxa" w:w="80"/>
              <w:right w:type="dxa" w:w="100"/>
            </w:tcMar>
          </w:tcPr>
          <w:p>
            <w:r>
              <w:rPr>
                <w:b w:val="false"/>
                <w:bCs w:val="false"/>
                <w:color w:val="000000"/>
                <w:sz w:val="20"/>
                <w:szCs w:val="20"/>
              </w:rPr>
              <w:t xml:space="preserve">Tenant-wide read/write; delete restricted to tenant owner/admin.</w:t>
            </w:r>
          </w:p>
        </w:tc>
      </w:tr>
      <w:tr>
        <w:tc>
          <w:tcPr>
            <w:tcW w:type="dxa" w:w="2400"/>
            <w:tcMar>
              <w:top w:type="dxa" w:w="80"/>
              <w:left w:type="dxa" w:w="100"/>
              <w:bottom w:type="dxa" w:w="80"/>
              <w:right w:type="dxa" w:w="100"/>
            </w:tcMar>
          </w:tcPr>
          <w:p>
            <w:r>
              <w:rPr>
                <w:b w:val="false"/>
                <w:bCs w:val="false"/>
                <w:color w:val="000000"/>
                <w:sz w:val="20"/>
                <w:szCs w:val="20"/>
              </w:rPr>
              <w:t xml:space="preserve">ai_conversations / ai_messages</w:t>
            </w:r>
          </w:p>
        </w:tc>
        <w:tc>
          <w:tcPr>
            <w:tcW w:type="dxa" w:w="3600"/>
            <w:tcMar>
              <w:top w:type="dxa" w:w="80"/>
              <w:left w:type="dxa" w:w="100"/>
              <w:bottom w:type="dxa" w:w="80"/>
              <w:right w:type="dxa" w:w="100"/>
            </w:tcMar>
          </w:tcPr>
          <w:p>
            <w:r>
              <w:rPr>
                <w:b w:val="false"/>
                <w:bCs w:val="false"/>
                <w:color w:val="000000"/>
                <w:sz w:val="20"/>
                <w:szCs w:val="20"/>
              </w:rPr>
              <w:t xml:space="preserve">AI assistant chat history.</w:t>
            </w:r>
          </w:p>
        </w:tc>
        <w:tc>
          <w:tcPr>
            <w:tcW w:type="dxa" w:w="3560"/>
            <w:tcMar>
              <w:top w:type="dxa" w:w="80"/>
              <w:left w:type="dxa" w:w="100"/>
              <w:bottom w:type="dxa" w:w="80"/>
              <w:right w:type="dxa" w:w="100"/>
            </w:tcMar>
          </w:tcPr>
          <w:p>
            <w:r>
              <w:rPr>
                <w:b w:val="false"/>
                <w:bCs w:val="false"/>
                <w:color w:val="000000"/>
                <w:sz w:val="20"/>
                <w:szCs w:val="20"/>
              </w:rPr>
              <w:t xml:space="preserve">Tenant-wide read; write by creator; delete by creator or tenant admin.</w:t>
            </w:r>
          </w:p>
        </w:tc>
      </w:tr>
      <w:tr>
        <w:tc>
          <w:tcPr>
            <w:tcW w:type="dxa" w:w="2400"/>
            <w:tcMar>
              <w:top w:type="dxa" w:w="80"/>
              <w:left w:type="dxa" w:w="100"/>
              <w:bottom w:type="dxa" w:w="80"/>
              <w:right w:type="dxa" w:w="100"/>
            </w:tcMar>
          </w:tcPr>
          <w:p>
            <w:r>
              <w:rPr>
                <w:b w:val="false"/>
                <w:bCs w:val="false"/>
                <w:color w:val="000000"/>
                <w:sz w:val="20"/>
                <w:szCs w:val="20"/>
              </w:rPr>
              <w:t xml:space="preserve">ai_documents / ai_drafts</w:t>
            </w:r>
          </w:p>
        </w:tc>
        <w:tc>
          <w:tcPr>
            <w:tcW w:type="dxa" w:w="3600"/>
            <w:tcMar>
              <w:top w:type="dxa" w:w="80"/>
              <w:left w:type="dxa" w:w="100"/>
              <w:bottom w:type="dxa" w:w="80"/>
              <w:right w:type="dxa" w:w="100"/>
            </w:tcMar>
          </w:tcPr>
          <w:p>
            <w:r>
              <w:rPr>
                <w:b w:val="false"/>
                <w:bCs w:val="false"/>
                <w:color w:val="000000"/>
                <w:sz w:val="20"/>
                <w:szCs w:val="20"/>
              </w:rPr>
              <w:t xml:space="preserve">AI document analyses and generated/dictated drafts.</w:t>
            </w:r>
          </w:p>
        </w:tc>
        <w:tc>
          <w:tcPr>
            <w:tcW w:type="dxa" w:w="3560"/>
            <w:tcMar>
              <w:top w:type="dxa" w:w="80"/>
              <w:left w:type="dxa" w:w="100"/>
              <w:bottom w:type="dxa" w:w="80"/>
              <w:right w:type="dxa" w:w="100"/>
            </w:tcMar>
          </w:tcPr>
          <w:p>
            <w:r>
              <w:rPr>
                <w:b w:val="false"/>
                <w:bCs w:val="false"/>
                <w:color w:val="000000"/>
                <w:sz w:val="20"/>
                <w:szCs w:val="20"/>
              </w:rPr>
              <w:t xml:space="preserve">Tenant-wide read; write by creator; delete by creator or tenant admin.</w:t>
            </w:r>
          </w:p>
        </w:tc>
      </w:tr>
      <w:tr>
        <w:tc>
          <w:tcPr>
            <w:tcW w:type="dxa" w:w="2400"/>
            <w:tcMar>
              <w:top w:type="dxa" w:w="80"/>
              <w:left w:type="dxa" w:w="100"/>
              <w:bottom w:type="dxa" w:w="80"/>
              <w:right w:type="dxa" w:w="100"/>
            </w:tcMar>
          </w:tcPr>
          <w:p>
            <w:r>
              <w:rPr>
                <w:b w:val="false"/>
                <w:bCs w:val="false"/>
                <w:color w:val="000000"/>
                <w:sz w:val="20"/>
                <w:szCs w:val="20"/>
              </w:rPr>
              <w:t xml:space="preserve">audit_log</w:t>
            </w:r>
          </w:p>
        </w:tc>
        <w:tc>
          <w:tcPr>
            <w:tcW w:type="dxa" w:w="3600"/>
            <w:tcMar>
              <w:top w:type="dxa" w:w="80"/>
              <w:left w:type="dxa" w:w="100"/>
              <w:bottom w:type="dxa" w:w="80"/>
              <w:right w:type="dxa" w:w="100"/>
            </w:tcMar>
          </w:tcPr>
          <w:p>
            <w:r>
              <w:rPr>
                <w:b w:val="false"/>
                <w:bCs w:val="false"/>
                <w:color w:val="000000"/>
                <w:sz w:val="20"/>
                <w:szCs w:val="20"/>
              </w:rPr>
              <w:t xml:space="preserve">Append-only security/activity log.</w:t>
            </w:r>
          </w:p>
        </w:tc>
        <w:tc>
          <w:tcPr>
            <w:tcW w:type="dxa" w:w="3560"/>
            <w:tcMar>
              <w:top w:type="dxa" w:w="80"/>
              <w:left w:type="dxa" w:w="100"/>
              <w:bottom w:type="dxa" w:w="80"/>
              <w:right w:type="dxa" w:w="100"/>
            </w:tcMar>
          </w:tcPr>
          <w:p>
            <w:r>
              <w:rPr>
                <w:b w:val="false"/>
                <w:bCs w:val="false"/>
                <w:color w:val="000000"/>
                <w:sz w:val="20"/>
                <w:szCs w:val="20"/>
              </w:rPr>
              <w:t xml:space="preserve">Tenant owner/admin (own tenant) or platform admin only.</w:t>
            </w:r>
          </w:p>
        </w:tc>
      </w:tr>
      <w:tr>
        <w:tc>
          <w:tcPr>
            <w:tcW w:type="dxa" w:w="2400"/>
            <w:tcMar>
              <w:top w:type="dxa" w:w="80"/>
              <w:left w:type="dxa" w:w="100"/>
              <w:bottom w:type="dxa" w:w="80"/>
              <w:right w:type="dxa" w:w="100"/>
            </w:tcMar>
          </w:tcPr>
          <w:p>
            <w:r>
              <w:rPr>
                <w:b w:val="false"/>
                <w:bCs w:val="false"/>
                <w:color w:val="000000"/>
                <w:sz w:val="20"/>
                <w:szCs w:val="20"/>
              </w:rPr>
              <w:t xml:space="preserve">platform_admins</w:t>
            </w:r>
          </w:p>
        </w:tc>
        <w:tc>
          <w:tcPr>
            <w:tcW w:type="dxa" w:w="3600"/>
            <w:tcMar>
              <w:top w:type="dxa" w:w="80"/>
              <w:left w:type="dxa" w:w="100"/>
              <w:bottom w:type="dxa" w:w="80"/>
              <w:right w:type="dxa" w:w="100"/>
            </w:tcMar>
          </w:tcPr>
          <w:p>
            <w:r>
              <w:rPr>
                <w:b w:val="false"/>
                <w:bCs w:val="false"/>
                <w:color w:val="000000"/>
                <w:sz w:val="20"/>
                <w:szCs w:val="20"/>
              </w:rPr>
              <w:t xml:space="preserve">Grants platform-operator (cross-tenant) access.</w:t>
            </w:r>
          </w:p>
        </w:tc>
        <w:tc>
          <w:tcPr>
            <w:tcW w:type="dxa" w:w="3560"/>
            <w:tcMar>
              <w:top w:type="dxa" w:w="80"/>
              <w:left w:type="dxa" w:w="100"/>
              <w:bottom w:type="dxa" w:w="80"/>
              <w:right w:type="dxa" w:w="100"/>
            </w:tcMar>
          </w:tcPr>
          <w:p>
            <w:r>
              <w:rPr>
                <w:b w:val="false"/>
                <w:bCs w:val="false"/>
                <w:color w:val="000000"/>
                <w:sz w:val="20"/>
                <w:szCs w:val="20"/>
              </w:rPr>
              <w:t xml:space="preserve">Platform admins only.</w:t>
            </w:r>
          </w:p>
        </w:tc>
      </w:tr>
      <w:tr>
        <w:tc>
          <w:tcPr>
            <w:tcW w:type="dxa" w:w="2400"/>
            <w:tcMar>
              <w:top w:type="dxa" w:w="80"/>
              <w:left w:type="dxa" w:w="100"/>
              <w:bottom w:type="dxa" w:w="80"/>
              <w:right w:type="dxa" w:w="100"/>
            </w:tcMar>
          </w:tcPr>
          <w:p>
            <w:r>
              <w:rPr>
                <w:b w:val="false"/>
                <w:bCs w:val="false"/>
                <w:color w:val="000000"/>
                <w:sz w:val="20"/>
                <w:szCs w:val="20"/>
              </w:rPr>
              <w:t xml:space="preserve">tenant_invites</w:t>
            </w:r>
          </w:p>
        </w:tc>
        <w:tc>
          <w:tcPr>
            <w:tcW w:type="dxa" w:w="3600"/>
            <w:tcMar>
              <w:top w:type="dxa" w:w="80"/>
              <w:left w:type="dxa" w:w="100"/>
              <w:bottom w:type="dxa" w:w="80"/>
              <w:right w:type="dxa" w:w="100"/>
            </w:tcMar>
          </w:tcPr>
          <w:p>
            <w:r>
              <w:rPr>
                <w:b w:val="false"/>
                <w:bCs w:val="false"/>
                <w:color w:val="000000"/>
                <w:sz w:val="20"/>
                <w:szCs w:val="20"/>
              </w:rPr>
              <w:t xml:space="preserve">Pending/accepted/revoked invitations to join a tenant.</w:t>
            </w:r>
          </w:p>
        </w:tc>
        <w:tc>
          <w:tcPr>
            <w:tcW w:type="dxa" w:w="3560"/>
            <w:tcMar>
              <w:top w:type="dxa" w:w="80"/>
              <w:left w:type="dxa" w:w="100"/>
              <w:bottom w:type="dxa" w:w="80"/>
              <w:right w:type="dxa" w:w="100"/>
            </w:tcMar>
          </w:tcPr>
          <w:p>
            <w:r>
              <w:rPr>
                <w:b w:val="false"/>
                <w:bCs w:val="false"/>
                <w:color w:val="000000"/>
                <w:sz w:val="20"/>
                <w:szCs w:val="20"/>
              </w:rPr>
              <w:t xml:space="preserve">Tenant owner/admin (own tenant) only — invitees never query this table directly.</w:t>
            </w:r>
          </w:p>
        </w:tc>
      </w:tr>
    </w:tbl>
    <w:p>
      <w:pPr>
        <w:pStyle w:val="Heading2"/>
        <w:spacing w:after="140" w:before="280"/>
      </w:pPr>
      <w:r>
        <w:t xml:space="preserve">3.2 Tenant Sharing Model</w:t>
      </w:r>
    </w:p>
    <w:p>
      <w:pPr>
        <w:spacing w:after="160"/>
      </w:pPr>
      <w:r>
        <w:t xml:space="preserve">Business data (matters, clients, hearings, billing, AI work product) is visible tenant-wide: any member of a firm can see and work with the firm's records, matching how solo advocates and small chambers actually operate. Deletion of shared records is restricted to the tenant's owner/admin role. This was a deliberate product decision (confirmed during development) in preference to a per-matter assignment model, which remains a valid future enhancement without requiring a schema redesign.</w:t>
      </w:r>
    </w:p>
    <w:p>
      <w:pPr>
        <w:spacing w:after="160"/>
      </w:pPr>
      <w:r>
        <w:t xml:space="preserve">Multi-user firms are supported end-to-end: a tenant owner/admin invites a teammate by email from the Team page (Section 6.12); the invitee signs up through the invite link and joins the same tenant — rather than the default signup path, which creates a brand-new tenant — as the role (admin or member) the inviter chose. This was verified live: a real second account joined an existing tenant, appeared correctly in that tenant's roster, and the invite's status flipped to accepted.</w:t>
      </w:r>
    </w:p>
    <w:p>
      <w:pPr>
        <w:pBdr>
          <w:left w:val="single" w:color="8B5E34" w:sz="12" w:space="8"/>
        </w:pBdr>
        <w:spacing w:after="200" w:before="80"/>
        <w:ind w:left="360"/>
      </w:pPr>
      <w:r>
        <w:rPr>
          <w:i/>
          <w:iCs/>
          <w:color w:val="5B5B5B"/>
        </w:rPr>
        <w:t xml:space="preserve">Invite delivery is a shareable link only — there is no transactional email sending in this application (see Section 9.6), so the inviter copies/sends the link themselves rather than the platform emailing it. Accepting an invite is also new-account-only: if the invited email already has an account elsewhere on the platform, sign-up fails and they're directed to sign in normally rather than being merged into the new tenant — joining an existing account to a second tenant is not supported.</w:t>
      </w:r>
    </w:p>
    <w:p>
      <w:pPr>
        <w:pStyle w:val="Heading1"/>
        <w:spacing w:after="200" w:before="400"/>
      </w:pPr>
      <w:r>
        <w:t xml:space="preserve">4. Authentication and Access Control</w:t>
      </w:r>
    </w:p>
    <w:p>
      <w:pPr>
        <w:pStyle w:val="Heading2"/>
        <w:spacing w:after="140" w:before="280"/>
      </w:pPr>
      <w:r>
        <w:t xml:space="preserve">4.1 Authentication</w:t>
      </w:r>
    </w:p>
    <w:p>
      <w:pPr>
        <w:pStyle w:val="ListParagraph"/>
        <w:numPr>
          <w:ilvl w:val="0"/>
          <w:numId w:val="1"/>
        </w:numPr>
        <w:spacing w:after="80"/>
      </w:pPr>
      <w:r>
        <w:t xml:space="preserve">Email + password sign-up and sign-in via Supabase Auth, with mandatory email confirmation before first sign-in.</w:t>
      </w:r>
    </w:p>
    <w:p>
      <w:pPr>
        <w:pStyle w:val="ListParagraph"/>
        <w:numPr>
          <w:ilvl w:val="0"/>
          <w:numId w:val="1"/>
        </w:numPr>
        <w:spacing w:after="80"/>
      </w:pPr>
      <w:r>
        <w:t xml:space="preserve">Google OAuth sign-in.</w:t>
      </w:r>
    </w:p>
    <w:p>
      <w:pPr>
        <w:pStyle w:val="ListParagraph"/>
        <w:numPr>
          <w:ilvl w:val="0"/>
          <w:numId w:val="1"/>
        </w:numPr>
        <w:spacing w:after="80"/>
      </w:pPr>
      <w:r>
        <w:t xml:space="preserve">Session tokens are JWTs, verified server-side on every server function and edge function call — signature-verified via Supabase Auth, not merely format-checked.</w:t>
      </w:r>
    </w:p>
    <w:p>
      <w:pPr>
        <w:pStyle w:val="ListParagraph"/>
        <w:numPr>
          <w:ilvl w:val="0"/>
          <w:numId w:val="1"/>
        </w:numPr>
        <w:spacing w:after="80"/>
      </w:pPr>
      <w:r>
        <w:t xml:space="preserve">CSRF middleware protects all TanStack Start server functions.</w:t>
      </w:r>
    </w:p>
    <w:p>
      <w:pPr>
        <w:pStyle w:val="ListParagraph"/>
        <w:numPr>
          <w:ilvl w:val="0"/>
          <w:numId w:val="1"/>
        </w:numPr>
        <w:spacing w:after="80"/>
      </w:pPr>
      <w:r>
        <w:t xml:space="preserve">No multi-factor authentication, no session/device management UI, and no application-level login rate limiting are implemented (relies on the Supabase Auth platform's own defaults).</w:t>
      </w:r>
    </w:p>
    <w:p>
      <w:pPr>
        <w:pStyle w:val="Heading2"/>
        <w:spacing w:after="140" w:before="280"/>
      </w:pPr>
      <w:r>
        <w:t xml:space="preserve">4.2 Authorization Model</w:t>
      </w:r>
    </w:p>
    <w:p>
      <w:pPr>
        <w:spacing w:after="160"/>
      </w:pPr>
      <w:r>
        <w:t xml:space="preserve">Two distinct authorization layers exist:</w:t>
      </w:r>
    </w:p>
    <w:p>
      <w:pPr>
        <w:pStyle w:val="ListParagraph"/>
        <w:numPr>
          <w:ilvl w:val="0"/>
          <w:numId w:val="1"/>
        </w:numPr>
        <w:spacing w:after="80"/>
      </w:pPr>
      <w:r>
        <w:t xml:space="preserve">Tenant role (profiles.tenant_role: owner / admin / member) — governs delete permissions on shared tenant data, audit-log visibility within a firm, and (since the team invite flow, Section 6.12) who may invite/revoke teammates and view the tenant's Team page in full.</w:t>
      </w:r>
    </w:p>
    <w:p>
      <w:pPr>
        <w:pStyle w:val="ListParagraph"/>
        <w:numPr>
          <w:ilvl w:val="0"/>
          <w:numId w:val="1"/>
        </w:numPr>
        <w:spacing w:after="80"/>
      </w:pPr>
      <w:r>
        <w:t xml:space="preserve">Platform admin (platform_admins table) — a separate, cross-tenant role for the platform operator, used solely by the admin console to manage tenants and licenses. Membership is not self-grantable; RLS requires an existing platform admin (or a direct database migration) to grant it.</w:t>
      </w:r>
    </w:p>
    <w:p>
      <w:pPr>
        <w:spacing w:after="160"/>
      </w:pPr>
      <w:r>
        <w:t xml:space="preserve">Both the route-level guard (client-side redirect, for UX) and the database RLS policy (server-side, authoritative) are implemented for every protected area; the client-side guard is never the sole enforcement point.</w:t>
      </w:r>
    </w:p>
    <w:p>
      <w:pPr>
        <w:pStyle w:val="Heading2"/>
        <w:spacing w:after="140" w:before="280"/>
      </w:pPr>
      <w:r>
        <w:t xml:space="preserve">4.3 Admin Console</w:t>
      </w:r>
    </w:p>
    <w:p>
      <w:pPr>
        <w:spacing w:after="160"/>
      </w:pPr>
      <w:r>
        <w:t xml:space="preserve">A separate /admin section, gated to platform admins only, provides full CRUD over tenants and their licenses (create tenant with trial license, change tenant status [active/suspended/cancelled], change plan [trial/starter/pro/enterprise], delete tenant). All three access states — unauthenticated, authenticated non-admin, authenticated admin — have been verified to behave correctly.</w:t>
      </w:r>
    </w:p>
    <w:p>
      <w:pPr>
        <w:spacing w:after="160"/>
      </w:pPr>
      <w:r>
        <w:t xml:space="preserve">Admin → Settings → Integrations lists every tenant with a toggle per integration entitlement (currently just WhatsApp — Section 5.6); only a platform admin can change it, verified live including confirming the toggle is reflected correctly on the tenant's own Team page.</w:t>
      </w:r>
    </w:p>
    <w:p>
      <w:pPr>
        <w:pStyle w:val="Heading1"/>
        <w:spacing w:after="200" w:before="400"/>
      </w:pPr>
      <w:r>
        <w:t xml:space="preserve">5. Entitlements and Licensing</w:t>
      </w:r>
    </w:p>
    <w:p>
      <w:pPr>
        <w:spacing w:after="160"/>
      </w:pPr>
      <w:r>
        <w:t xml:space="preserve">Subscription plans are enforced server-side, at the database layer, via triggers — not merely checked in the UI — so no client (web, native, or a future direct API integration) can bypass a limit.</w:t>
      </w:r>
    </w:p>
    <w:p>
      <w:pPr>
        <w:pStyle w:val="Heading2"/>
        <w:spacing w:after="140" w:before="280"/>
      </w:pPr>
      <w:r>
        <w:t xml:space="preserve">5.1 Plan Limits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80"/>
        <w:gridCol w:w="1660"/>
        <w:gridCol w:w="1660"/>
        <w:gridCol w:w="1980"/>
        <w:gridCol w:w="2680"/>
      </w:tblGrid>
      <w:tr>
        <w:tc>
          <w:tcPr>
            <w:tcW w:type="dxa" w:w="1580"/>
            <w:shd w:fill="121B33" w:val="clear"/>
            <w:tcMar>
              <w:top w:type="dxa" w:w="80"/>
              <w:left w:type="dxa" w:w="100"/>
              <w:bottom w:type="dxa" w:w="80"/>
              <w:right w:type="dxa" w:w="100"/>
            </w:tcMar>
          </w:tcPr>
          <w:p>
            <w:r>
              <w:rPr>
                <w:b/>
                <w:bCs/>
                <w:color w:val="FFFFFF"/>
                <w:sz w:val="20"/>
                <w:szCs w:val="20"/>
              </w:rPr>
              <w:t xml:space="preserve">Plan</w:t>
            </w:r>
          </w:p>
        </w:tc>
        <w:tc>
          <w:tcPr>
            <w:tcW w:type="dxa" w:w="1660"/>
            <w:shd w:fill="121B33" w:val="clear"/>
            <w:tcMar>
              <w:top w:type="dxa" w:w="80"/>
              <w:left w:type="dxa" w:w="100"/>
              <w:bottom w:type="dxa" w:w="80"/>
              <w:right w:type="dxa" w:w="100"/>
            </w:tcMar>
          </w:tcPr>
          <w:p>
            <w:r>
              <w:rPr>
                <w:b/>
                <w:bCs/>
                <w:color w:val="FFFFFF"/>
                <w:sz w:val="20"/>
                <w:szCs w:val="20"/>
              </w:rPr>
              <w:t xml:space="preserve">Matters</w:t>
            </w:r>
          </w:p>
        </w:tc>
        <w:tc>
          <w:tcPr>
            <w:tcW w:type="dxa" w:w="1660"/>
            <w:shd w:fill="121B33" w:val="clear"/>
            <w:tcMar>
              <w:top w:type="dxa" w:w="80"/>
              <w:left w:type="dxa" w:w="100"/>
              <w:bottom w:type="dxa" w:w="80"/>
              <w:right w:type="dxa" w:w="100"/>
            </w:tcMar>
          </w:tcPr>
          <w:p>
            <w:r>
              <w:rPr>
                <w:b/>
                <w:bCs/>
                <w:color w:val="FFFFFF"/>
                <w:sz w:val="20"/>
                <w:szCs w:val="20"/>
              </w:rPr>
              <w:t xml:space="preserve">Clients</w:t>
            </w:r>
          </w:p>
        </w:tc>
        <w:tc>
          <w:tcPr>
            <w:tcW w:type="dxa" w:w="1980"/>
            <w:shd w:fill="121B33" w:val="clear"/>
            <w:tcMar>
              <w:top w:type="dxa" w:w="80"/>
              <w:left w:type="dxa" w:w="100"/>
              <w:bottom w:type="dxa" w:w="80"/>
              <w:right w:type="dxa" w:w="100"/>
            </w:tcMar>
          </w:tcPr>
          <w:p>
            <w:r>
              <w:rPr>
                <w:b/>
                <w:bCs/>
                <w:color w:val="FFFFFF"/>
                <w:sz w:val="20"/>
                <w:szCs w:val="20"/>
              </w:rPr>
              <w:t xml:space="preserve">AI calls / day</w:t>
            </w:r>
          </w:p>
        </w:tc>
        <w:tc>
          <w:tcPr>
            <w:tcW w:type="dxa" w:w="2680"/>
            <w:shd w:fill="121B33" w:val="clear"/>
            <w:tcMar>
              <w:top w:type="dxa" w:w="80"/>
              <w:left w:type="dxa" w:w="100"/>
              <w:bottom w:type="dxa" w:w="80"/>
              <w:right w:type="dxa" w:w="100"/>
            </w:tcMar>
          </w:tcPr>
          <w:p>
            <w:r>
              <w:rPr>
                <w:b/>
                <w:bCs/>
                <w:color w:val="FFFFFF"/>
                <w:sz w:val="20"/>
                <w:szCs w:val="20"/>
              </w:rPr>
              <w:t xml:space="preserve">Storage (estimate)</w:t>
            </w:r>
          </w:p>
        </w:tc>
      </w:tr>
      <w:tr>
        <w:tc>
          <w:tcPr>
            <w:tcW w:type="dxa" w:w="1580"/>
            <w:tcMar>
              <w:top w:type="dxa" w:w="80"/>
              <w:left w:type="dxa" w:w="100"/>
              <w:bottom w:type="dxa" w:w="80"/>
              <w:right w:type="dxa" w:w="100"/>
            </w:tcMar>
          </w:tcPr>
          <w:p>
            <w:r>
              <w:rPr>
                <w:b w:val="false"/>
                <w:bCs w:val="false"/>
                <w:color w:val="000000"/>
                <w:sz w:val="20"/>
                <w:szCs w:val="20"/>
              </w:rPr>
              <w:t xml:space="preserve">trial</w:t>
            </w:r>
          </w:p>
        </w:tc>
        <w:tc>
          <w:tcPr>
            <w:tcW w:type="dxa" w:w="1660"/>
            <w:tcMar>
              <w:top w:type="dxa" w:w="80"/>
              <w:left w:type="dxa" w:w="100"/>
              <w:bottom w:type="dxa" w:w="80"/>
              <w:right w:type="dxa" w:w="100"/>
            </w:tcMar>
          </w:tcPr>
          <w:p>
            <w:r>
              <w:rPr>
                <w:b w:val="false"/>
                <w:bCs w:val="false"/>
                <w:color w:val="000000"/>
                <w:sz w:val="20"/>
                <w:szCs w:val="20"/>
              </w:rPr>
              <w:t xml:space="preserve">5</w:t>
            </w:r>
          </w:p>
        </w:tc>
        <w:tc>
          <w:tcPr>
            <w:tcW w:type="dxa" w:w="1660"/>
            <w:tcMar>
              <w:top w:type="dxa" w:w="80"/>
              <w:left w:type="dxa" w:w="100"/>
              <w:bottom w:type="dxa" w:w="80"/>
              <w:right w:type="dxa" w:w="100"/>
            </w:tcMar>
          </w:tcPr>
          <w:p>
            <w:r>
              <w:rPr>
                <w:b w:val="false"/>
                <w:bCs w:val="false"/>
                <w:color w:val="000000"/>
                <w:sz w:val="20"/>
                <w:szCs w:val="20"/>
              </w:rPr>
              <w:t xml:space="preserve">5</w:t>
            </w:r>
          </w:p>
        </w:tc>
        <w:tc>
          <w:tcPr>
            <w:tcW w:type="dxa" w:w="1980"/>
            <w:tcMar>
              <w:top w:type="dxa" w:w="80"/>
              <w:left w:type="dxa" w:w="100"/>
              <w:bottom w:type="dxa" w:w="80"/>
              <w:right w:type="dxa" w:w="100"/>
            </w:tcMar>
          </w:tcPr>
          <w:p>
            <w:r>
              <w:rPr>
                <w:b w:val="false"/>
                <w:bCs w:val="false"/>
                <w:color w:val="000000"/>
                <w:sz w:val="20"/>
                <w:szCs w:val="20"/>
              </w:rPr>
              <w:t xml:space="preserve">20</w:t>
            </w:r>
          </w:p>
        </w:tc>
        <w:tc>
          <w:tcPr>
            <w:tcW w:type="dxa" w:w="2680"/>
            <w:tcMar>
              <w:top w:type="dxa" w:w="80"/>
              <w:left w:type="dxa" w:w="100"/>
              <w:bottom w:type="dxa" w:w="80"/>
              <w:right w:type="dxa" w:w="100"/>
            </w:tcMar>
          </w:tcPr>
          <w:p>
            <w:r>
              <w:rPr>
                <w:b w:val="false"/>
                <w:bCs w:val="false"/>
                <w:color w:val="000000"/>
                <w:sz w:val="20"/>
                <w:szCs w:val="20"/>
              </w:rPr>
              <w:t xml:space="preserve">50 MB</w:t>
            </w:r>
          </w:p>
        </w:tc>
      </w:tr>
      <w:tr>
        <w:tc>
          <w:tcPr>
            <w:tcW w:type="dxa" w:w="1580"/>
            <w:tcMar>
              <w:top w:type="dxa" w:w="80"/>
              <w:left w:type="dxa" w:w="100"/>
              <w:bottom w:type="dxa" w:w="80"/>
              <w:right w:type="dxa" w:w="100"/>
            </w:tcMar>
          </w:tcPr>
          <w:p>
            <w:r>
              <w:rPr>
                <w:b w:val="false"/>
                <w:bCs w:val="false"/>
                <w:color w:val="000000"/>
                <w:sz w:val="20"/>
                <w:szCs w:val="20"/>
              </w:rPr>
              <w:t xml:space="preserve">starter</w:t>
            </w:r>
          </w:p>
        </w:tc>
        <w:tc>
          <w:tcPr>
            <w:tcW w:type="dxa" w:w="1660"/>
            <w:tcMar>
              <w:top w:type="dxa" w:w="80"/>
              <w:left w:type="dxa" w:w="100"/>
              <w:bottom w:type="dxa" w:w="80"/>
              <w:right w:type="dxa" w:w="100"/>
            </w:tcMar>
          </w:tcPr>
          <w:p>
            <w:r>
              <w:rPr>
                <w:b w:val="false"/>
                <w:bCs w:val="false"/>
                <w:color w:val="000000"/>
                <w:sz w:val="20"/>
                <w:szCs w:val="20"/>
              </w:rPr>
              <w:t xml:space="preserve">25</w:t>
            </w:r>
          </w:p>
        </w:tc>
        <w:tc>
          <w:tcPr>
            <w:tcW w:type="dxa" w:w="1660"/>
            <w:tcMar>
              <w:top w:type="dxa" w:w="80"/>
              <w:left w:type="dxa" w:w="100"/>
              <w:bottom w:type="dxa" w:w="80"/>
              <w:right w:type="dxa" w:w="100"/>
            </w:tcMar>
          </w:tcPr>
          <w:p>
            <w:r>
              <w:rPr>
                <w:b w:val="false"/>
                <w:bCs w:val="false"/>
                <w:color w:val="000000"/>
                <w:sz w:val="20"/>
                <w:szCs w:val="20"/>
              </w:rPr>
              <w:t xml:space="preserve">25</w:t>
            </w:r>
          </w:p>
        </w:tc>
        <w:tc>
          <w:tcPr>
            <w:tcW w:type="dxa" w:w="1980"/>
            <w:tcMar>
              <w:top w:type="dxa" w:w="80"/>
              <w:left w:type="dxa" w:w="100"/>
              <w:bottom w:type="dxa" w:w="80"/>
              <w:right w:type="dxa" w:w="100"/>
            </w:tcMar>
          </w:tcPr>
          <w:p>
            <w:r>
              <w:rPr>
                <w:b w:val="false"/>
                <w:bCs w:val="false"/>
                <w:color w:val="000000"/>
                <w:sz w:val="20"/>
                <w:szCs w:val="20"/>
              </w:rPr>
              <w:t xml:space="preserve">60</w:t>
            </w:r>
          </w:p>
        </w:tc>
        <w:tc>
          <w:tcPr>
            <w:tcW w:type="dxa" w:w="2680"/>
            <w:tcMar>
              <w:top w:type="dxa" w:w="80"/>
              <w:left w:type="dxa" w:w="100"/>
              <w:bottom w:type="dxa" w:w="80"/>
              <w:right w:type="dxa" w:w="100"/>
            </w:tcMar>
          </w:tcPr>
          <w:p>
            <w:r>
              <w:rPr>
                <w:b w:val="false"/>
                <w:bCs w:val="false"/>
                <w:color w:val="000000"/>
                <w:sz w:val="20"/>
                <w:szCs w:val="20"/>
              </w:rPr>
              <w:t xml:space="preserve">500 MB</w:t>
            </w:r>
          </w:p>
        </w:tc>
      </w:tr>
      <w:tr>
        <w:tc>
          <w:tcPr>
            <w:tcW w:type="dxa" w:w="1580"/>
            <w:tcMar>
              <w:top w:type="dxa" w:w="80"/>
              <w:left w:type="dxa" w:w="100"/>
              <w:bottom w:type="dxa" w:w="80"/>
              <w:right w:type="dxa" w:w="100"/>
            </w:tcMar>
          </w:tcPr>
          <w:p>
            <w:r>
              <w:rPr>
                <w:b w:val="false"/>
                <w:bCs w:val="false"/>
                <w:color w:val="000000"/>
                <w:sz w:val="20"/>
                <w:szCs w:val="20"/>
              </w:rPr>
              <w:t xml:space="preserve">pro</w:t>
            </w:r>
          </w:p>
        </w:tc>
        <w:tc>
          <w:tcPr>
            <w:tcW w:type="dxa" w:w="1660"/>
            <w:tcMar>
              <w:top w:type="dxa" w:w="80"/>
              <w:left w:type="dxa" w:w="100"/>
              <w:bottom w:type="dxa" w:w="80"/>
              <w:right w:type="dxa" w:w="100"/>
            </w:tcMar>
          </w:tcPr>
          <w:p>
            <w:r>
              <w:rPr>
                <w:b w:val="false"/>
                <w:bCs w:val="false"/>
                <w:color w:val="000000"/>
                <w:sz w:val="20"/>
                <w:szCs w:val="20"/>
              </w:rPr>
              <w:t xml:space="preserve">150</w:t>
            </w:r>
          </w:p>
        </w:tc>
        <w:tc>
          <w:tcPr>
            <w:tcW w:type="dxa" w:w="1660"/>
            <w:tcMar>
              <w:top w:type="dxa" w:w="80"/>
              <w:left w:type="dxa" w:w="100"/>
              <w:bottom w:type="dxa" w:w="80"/>
              <w:right w:type="dxa" w:w="100"/>
            </w:tcMar>
          </w:tcPr>
          <w:p>
            <w:r>
              <w:rPr>
                <w:b w:val="false"/>
                <w:bCs w:val="false"/>
                <w:color w:val="000000"/>
                <w:sz w:val="20"/>
                <w:szCs w:val="20"/>
              </w:rPr>
              <w:t xml:space="preserve">150</w:t>
            </w:r>
          </w:p>
        </w:tc>
        <w:tc>
          <w:tcPr>
            <w:tcW w:type="dxa" w:w="1980"/>
            <w:tcMar>
              <w:top w:type="dxa" w:w="80"/>
              <w:left w:type="dxa" w:w="100"/>
              <w:bottom w:type="dxa" w:w="80"/>
              <w:right w:type="dxa" w:w="100"/>
            </w:tcMar>
          </w:tcPr>
          <w:p>
            <w:r>
              <w:rPr>
                <w:b w:val="false"/>
                <w:bCs w:val="false"/>
                <w:color w:val="000000"/>
                <w:sz w:val="20"/>
                <w:szCs w:val="20"/>
              </w:rPr>
              <w:t xml:space="preserve">200</w:t>
            </w:r>
          </w:p>
        </w:tc>
        <w:tc>
          <w:tcPr>
            <w:tcW w:type="dxa" w:w="2680"/>
            <w:tcMar>
              <w:top w:type="dxa" w:w="80"/>
              <w:left w:type="dxa" w:w="100"/>
              <w:bottom w:type="dxa" w:w="80"/>
              <w:right w:type="dxa" w:w="100"/>
            </w:tcMar>
          </w:tcPr>
          <w:p>
            <w:r>
              <w:rPr>
                <w:b w:val="false"/>
                <w:bCs w:val="false"/>
                <w:color w:val="000000"/>
                <w:sz w:val="20"/>
                <w:szCs w:val="20"/>
              </w:rPr>
              <w:t xml:space="preserve">5,000 MB</w:t>
            </w:r>
          </w:p>
        </w:tc>
      </w:tr>
      <w:tr>
        <w:tc>
          <w:tcPr>
            <w:tcW w:type="dxa" w:w="1580"/>
            <w:tcMar>
              <w:top w:type="dxa" w:w="80"/>
              <w:left w:type="dxa" w:w="100"/>
              <w:bottom w:type="dxa" w:w="80"/>
              <w:right w:type="dxa" w:w="100"/>
            </w:tcMar>
          </w:tcPr>
          <w:p>
            <w:r>
              <w:rPr>
                <w:b w:val="false"/>
                <w:bCs w:val="false"/>
                <w:color w:val="000000"/>
                <w:sz w:val="20"/>
                <w:szCs w:val="20"/>
              </w:rPr>
              <w:t xml:space="preserve">enterprise</w:t>
            </w:r>
          </w:p>
        </w:tc>
        <w:tc>
          <w:tcPr>
            <w:tcW w:type="dxa" w:w="1660"/>
            <w:tcMar>
              <w:top w:type="dxa" w:w="80"/>
              <w:left w:type="dxa" w:w="100"/>
              <w:bottom w:type="dxa" w:w="80"/>
              <w:right w:type="dxa" w:w="100"/>
            </w:tcMar>
          </w:tcPr>
          <w:p>
            <w:r>
              <w:rPr>
                <w:b w:val="false"/>
                <w:bCs w:val="false"/>
                <w:color w:val="000000"/>
                <w:sz w:val="20"/>
                <w:szCs w:val="20"/>
              </w:rPr>
              <w:t xml:space="preserve">Unlimited</w:t>
            </w:r>
          </w:p>
        </w:tc>
        <w:tc>
          <w:tcPr>
            <w:tcW w:type="dxa" w:w="1660"/>
            <w:tcMar>
              <w:top w:type="dxa" w:w="80"/>
              <w:left w:type="dxa" w:w="100"/>
              <w:bottom w:type="dxa" w:w="80"/>
              <w:right w:type="dxa" w:w="100"/>
            </w:tcMar>
          </w:tcPr>
          <w:p>
            <w:r>
              <w:rPr>
                <w:b w:val="false"/>
                <w:bCs w:val="false"/>
                <w:color w:val="000000"/>
                <w:sz w:val="20"/>
                <w:szCs w:val="20"/>
              </w:rPr>
              <w:t xml:space="preserve">Unlimited</w:t>
            </w:r>
          </w:p>
        </w:tc>
        <w:tc>
          <w:tcPr>
            <w:tcW w:type="dxa" w:w="1980"/>
            <w:tcMar>
              <w:top w:type="dxa" w:w="80"/>
              <w:left w:type="dxa" w:w="100"/>
              <w:bottom w:type="dxa" w:w="80"/>
              <w:right w:type="dxa" w:w="100"/>
            </w:tcMar>
          </w:tcPr>
          <w:p>
            <w:r>
              <w:rPr>
                <w:b w:val="false"/>
                <w:bCs w:val="false"/>
                <w:color w:val="000000"/>
                <w:sz w:val="20"/>
                <w:szCs w:val="20"/>
              </w:rPr>
              <w:t xml:space="preserve">500</w:t>
            </w:r>
          </w:p>
        </w:tc>
        <w:tc>
          <w:tcPr>
            <w:tcW w:type="dxa" w:w="2680"/>
            <w:tcMar>
              <w:top w:type="dxa" w:w="80"/>
              <w:left w:type="dxa" w:w="100"/>
              <w:bottom w:type="dxa" w:w="80"/>
              <w:right w:type="dxa" w:w="100"/>
            </w:tcMar>
          </w:tcPr>
          <w:p>
            <w:r>
              <w:rPr>
                <w:b w:val="false"/>
                <w:bCs w:val="false"/>
                <w:color w:val="000000"/>
                <w:sz w:val="20"/>
                <w:szCs w:val="20"/>
              </w:rPr>
              <w:t xml:space="preserve">Unlimited</w:t>
            </w:r>
          </w:p>
        </w:tc>
      </w:tr>
    </w:tbl>
    <w:p>
      <w:pPr>
        <w:spacing w:after="160"/>
      </w:pPr>
      <w:r>
        <w:t xml:space="preserve">Attempting to exceed a matter/client limit returns a clear, user-facing error (e.g. “Your trial plan allows up to 5 matters — upgrade to add more.”) and the write is rejected at the database level before it can partially succeed.</w:t>
      </w:r>
    </w:p>
    <w:p>
      <w:pPr>
        <w:pStyle w:val="Heading2"/>
        <w:spacing w:after="140" w:before="280"/>
      </w:pPr>
      <w:r>
        <w:t xml:space="preserve">5.2 License Status Behaviour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c>
          <w:tcPr>
            <w:tcW w:type="dxa" w:w="2600"/>
            <w:shd w:fill="121B33" w:val="clear"/>
            <w:tcMar>
              <w:top w:type="dxa" w:w="80"/>
              <w:left w:type="dxa" w:w="100"/>
              <w:bottom w:type="dxa" w:w="80"/>
              <w:right w:type="dxa" w:w="100"/>
            </w:tcMar>
          </w:tcPr>
          <w:p>
            <w:r>
              <w:rPr>
                <w:b/>
                <w:bCs/>
                <w:color w:val="FFFFFF"/>
                <w:sz w:val="20"/>
                <w:szCs w:val="20"/>
              </w:rPr>
              <w:t xml:space="preserve">Status</w:t>
            </w:r>
          </w:p>
        </w:tc>
        <w:tc>
          <w:tcPr>
            <w:tcW w:type="dxa" w:w="6960"/>
            <w:shd w:fill="121B33" w:val="clear"/>
            <w:tcMar>
              <w:top w:type="dxa" w:w="80"/>
              <w:left w:type="dxa" w:w="100"/>
              <w:bottom w:type="dxa" w:w="80"/>
              <w:right w:type="dxa" w:w="100"/>
            </w:tcMar>
          </w:tcPr>
          <w:p>
            <w:r>
              <w:rPr>
                <w:b/>
                <w:bCs/>
                <w:color w:val="FFFFFF"/>
                <w:sz w:val="20"/>
                <w:szCs w:val="20"/>
              </w:rPr>
              <w:t xml:space="preserve">Behaviour</w:t>
            </w:r>
          </w:p>
        </w:tc>
      </w:tr>
      <w:tr>
        <w:tc>
          <w:tcPr>
            <w:tcW w:type="dxa" w:w="2600"/>
            <w:tcMar>
              <w:top w:type="dxa" w:w="80"/>
              <w:left w:type="dxa" w:w="100"/>
              <w:bottom w:type="dxa" w:w="80"/>
              <w:right w:type="dxa" w:w="100"/>
            </w:tcMar>
          </w:tcPr>
          <w:p>
            <w:r>
              <w:rPr>
                <w:b w:val="false"/>
                <w:bCs w:val="false"/>
                <w:color w:val="000000"/>
                <w:sz w:val="20"/>
                <w:szCs w:val="20"/>
              </w:rPr>
              <w:t xml:space="preserve">trialing / active / past_due</w:t>
            </w:r>
          </w:p>
        </w:tc>
        <w:tc>
          <w:tcPr>
            <w:tcW w:type="dxa" w:w="6960"/>
            <w:tcMar>
              <w:top w:type="dxa" w:w="80"/>
              <w:left w:type="dxa" w:w="100"/>
              <w:bottom w:type="dxa" w:w="80"/>
              <w:right w:type="dxa" w:w="100"/>
            </w:tcMar>
          </w:tcPr>
          <w:p>
            <w:r>
              <w:rPr>
                <w:b w:val="false"/>
                <w:bCs w:val="false"/>
                <w:color w:val="000000"/>
                <w:sz w:val="20"/>
                <w:szCs w:val="20"/>
              </w:rPr>
              <w:t xml:space="preserve">Full read and write access. past_due is treated as a grace period with no restriction.</w:t>
            </w:r>
          </w:p>
        </w:tc>
      </w:tr>
      <w:tr>
        <w:tc>
          <w:tcPr>
            <w:tcW w:type="dxa" w:w="2600"/>
            <w:tcMar>
              <w:top w:type="dxa" w:w="80"/>
              <w:left w:type="dxa" w:w="100"/>
              <w:bottom w:type="dxa" w:w="80"/>
              <w:right w:type="dxa" w:w="100"/>
            </w:tcMar>
          </w:tcPr>
          <w:p>
            <w:r>
              <w:rPr>
                <w:b w:val="false"/>
                <w:bCs w:val="false"/>
                <w:color w:val="000000"/>
                <w:sz w:val="20"/>
                <w:szCs w:val="20"/>
              </w:rPr>
              <w:t xml:space="preserve">cancelled</w:t>
            </w:r>
          </w:p>
        </w:tc>
        <w:tc>
          <w:tcPr>
            <w:tcW w:type="dxa" w:w="6960"/>
            <w:tcMar>
              <w:top w:type="dxa" w:w="80"/>
              <w:left w:type="dxa" w:w="100"/>
              <w:bottom w:type="dxa" w:w="80"/>
              <w:right w:type="dxa" w:w="100"/>
            </w:tcMar>
          </w:tcPr>
          <w:p>
            <w:r>
              <w:rPr>
                <w:b w:val="false"/>
                <w:bCs w:val="false"/>
                <w:color w:val="000000"/>
                <w:sz w:val="20"/>
                <w:szCs w:val="20"/>
              </w:rPr>
              <w:t xml:space="preserve">All writes (insert/update/delete) across every tenant-owned table are blocked; reads remain fully available so the firm can still view and export its own data rather than losing access outright.</w:t>
            </w:r>
          </w:p>
        </w:tc>
      </w:tr>
    </w:tbl>
    <w:p>
      <w:pPr>
        <w:pStyle w:val="Heading2"/>
        <w:spacing w:after="140" w:before="280"/>
      </w:pPr>
      <w:r>
        <w:t xml:space="preserve">5.3 AI Usage Quota</w:t>
      </w:r>
    </w:p>
    <w:p>
      <w:pPr>
        <w:spacing w:after="160"/>
      </w:pPr>
      <w:r>
        <w:t xml:space="preserve">Every AI/OCR-calling edge function enforces the plan's daily call limit via a single database function before making the (paid) call to the AI provider, preventing unmetered cost exposure from a single account.</w:t>
      </w:r>
    </w:p>
    <w:p>
      <w:pPr>
        <w:pBdr>
          <w:left w:val="single" w:color="8B5E34" w:sz="12" w:space="8"/>
        </w:pBdr>
        <w:spacing w:after="200" w:before="80"/>
        <w:ind w:left="360"/>
      </w:pPr>
      <w:r>
        <w:rPr>
          <w:i/>
          <w:iCs/>
          <w:color w:val="5B5B5B"/>
        </w:rPr>
        <w:t xml:space="preserve">AI usage is tracked per user, not per tenant. Now that multi-user firms are real (Section 6.12), this means each member of a firm has their own daily allowance rather than the firm sharing one pool — e.g. a 2-member trial-plan firm effectively has 40 AI calls/day available across the team, not a shared 20. This was an accepted simplification when written and remains one; making the quota tenant-scoped is a reasonable follow-up now that it's no longer a purely hypothetical scenario.</w:t>
      </w:r>
    </w:p>
    <w:p>
      <w:pPr>
        <w:pStyle w:val="Heading2"/>
        <w:spacing w:after="140" w:before="280"/>
      </w:pPr>
      <w:r>
        <w:t xml:space="preserve">5.4 Seats and Team Invites</w:t>
      </w:r>
    </w:p>
    <w:p>
      <w:pPr>
        <w:spacing w:after="160"/>
      </w:pPr>
      <w:r>
        <w:t xml:space="preserve">licenses.seats (maximum users per tenant) is enforced server-side: a database trigger blocks creating a new invite once (active members + pending invites) would exceed the seat count, regardless of which client attempts it. Verified live — a 1-seat tenant correctly rejected a second invite with a clear error, and succeeded once seats were increased.</w:t>
      </w:r>
    </w:p>
    <w:p>
      <w:pPr>
        <w:pStyle w:val="Heading2"/>
        <w:spacing w:after="140" w:before="280"/>
      </w:pPr>
      <w:r>
        <w:t xml:space="preserve">5.5 Storage Entitlement</w:t>
      </w:r>
    </w:p>
    <w:p>
      <w:pPr>
        <w:spacing w:after="160"/>
      </w:pPr>
      <w:r>
        <w:t xml:space="preserve">A soft, informational storage limit per plan (Section 5.1) computed against stored text size (see Section 6.8's note on why this is an estimate, not real file storage). Shown to the tenant on the Team page. Not enforced as a hard block — there is nothing real to enforce it against yet.</w:t>
      </w:r>
    </w:p>
    <w:p>
      <w:pPr>
        <w:pStyle w:val="Heading2"/>
        <w:spacing w:after="140" w:before="280"/>
      </w:pPr>
      <w:r>
        <w:t xml:space="preserve">5.6 Integration Entitlements</w:t>
      </w:r>
    </w:p>
    <w:p>
      <w:pPr>
        <w:spacing w:after="160"/>
      </w:pPr>
      <w:r>
        <w:t xml:space="preserve">licenses.integrations (JSONB) holds per-tenant integration toggles, controlled exclusively by the platform admin from Admin → Settings → Integrations — a tenant cannot self-enable an integration. Currently one entitlement exists: whatsapp_enabled. Enabling it only gates visibility of a WhatsApp status panel in the tenant's Team page; no WhatsApp Business API provider (Meta Cloud API, Twilio, Gupshup, or similar) is connected, and no message can be sent through the platform today. This is a licensing/UI placeholder, ready for a real integration to be wired into once a provider and credentials are available — see Section 9.6.</w:t>
      </w:r>
    </w:p>
    <w:p>
      <w:pPr>
        <w:pStyle w:val="Heading1"/>
        <w:spacing w:after="200" w:before="400"/>
      </w:pPr>
      <w:r>
        <w:t xml:space="preserve">6. Functional Requirements</w:t>
      </w:r>
    </w:p>
    <w:p>
      <w:pPr>
        <w:pStyle w:val="Heading2"/>
        <w:spacing w:after="140" w:before="280"/>
      </w:pPr>
      <w:r>
        <w:t xml:space="preserve">6.1 Dashboard</w:t>
      </w:r>
    </w:p>
    <w:p>
      <w:pPr>
        <w:spacing w:after="160"/>
      </w:pPr>
      <w:r>
        <w:t xml:space="preserve">The chamber's home screen, computed live from real data (no cached or estimated figures):</w:t>
      </w:r>
    </w:p>
    <w:p>
      <w:pPr>
        <w:pStyle w:val="ListParagraph"/>
        <w:numPr>
          <w:ilvl w:val="0"/>
          <w:numId w:val="1"/>
        </w:numPr>
        <w:spacing w:after="80"/>
      </w:pPr>
      <w:r>
        <w:t xml:space="preserve">Active matter count, hearings this week, unbilled hours and work-in-progress value, outstanding invoice value and overdue count — all computed from the matters, hearings, time_entries and invoices tables at request time.</w:t>
      </w:r>
    </w:p>
    <w:p>
      <w:pPr>
        <w:pStyle w:val="ListParagraph"/>
        <w:numPr>
          <w:ilvl w:val="0"/>
          <w:numId w:val="1"/>
        </w:numPr>
        <w:spacing w:after="80"/>
      </w:pPr>
      <w:r>
        <w:t xml:space="preserve">Today's diary (hearings scheduled for the current date) and the most recent time entries.</w:t>
      </w:r>
    </w:p>
    <w:p>
      <w:pPr>
        <w:pStyle w:val="ListParagraph"/>
        <w:numPr>
          <w:ilvl w:val="0"/>
          <w:numId w:val="1"/>
        </w:numPr>
        <w:spacing w:after="80"/>
      </w:pPr>
      <w:r>
        <w:t xml:space="preserve">A 7-day billable-hours-and-hearings-count chart for the current calendar week.</w:t>
      </w:r>
    </w:p>
    <w:p>
      <w:pPr>
        <w:pStyle w:val="Heading2"/>
        <w:spacing w:after="140" w:before="280"/>
      </w:pPr>
      <w:r>
        <w:t xml:space="preserve">6.2 Cases and Matters</w:t>
      </w:r>
    </w:p>
    <w:p>
      <w:pPr>
        <w:pStyle w:val="ListParagraph"/>
        <w:numPr>
          <w:ilvl w:val="0"/>
          <w:numId w:val="1"/>
        </w:numPr>
        <w:spacing w:after="80"/>
      </w:pPr>
      <w:r>
        <w:t xml:space="preserve">Create a matter with title, client name, case number, court, opposing party and filed date.</w:t>
      </w:r>
    </w:p>
    <w:p>
      <w:pPr>
        <w:pStyle w:val="ListParagraph"/>
        <w:numPr>
          <w:ilvl w:val="0"/>
          <w:numId w:val="1"/>
        </w:numPr>
        <w:spacing w:after="80"/>
      </w:pPr>
      <w:r>
        <w:t xml:space="preserve">List all matters for the tenant with status (active/closed/archived).</w:t>
      </w:r>
    </w:p>
    <w:p>
      <w:pPr>
        <w:pStyle w:val="ListParagraph"/>
        <w:numPr>
          <w:ilvl w:val="0"/>
          <w:numId w:val="1"/>
        </w:numPr>
        <w:spacing w:after="80"/>
      </w:pPr>
      <w:r>
        <w:t xml:space="preserve">Subject to the plan's matter-count limit (Section 5.1).</w:t>
      </w:r>
    </w:p>
    <w:p>
      <w:pPr>
        <w:pStyle w:val="Heading2"/>
        <w:spacing w:after="140" w:before="280"/>
      </w:pPr>
      <w:r>
        <w:t xml:space="preserve">6.3 Clients</w:t>
      </w:r>
    </w:p>
    <w:p>
      <w:pPr>
        <w:pStyle w:val="ListParagraph"/>
        <w:numPr>
          <w:ilvl w:val="0"/>
          <w:numId w:val="1"/>
        </w:numPr>
        <w:spacing w:after="80"/>
      </w:pPr>
      <w:r>
        <w:t xml:space="preserve">Create and list clients (name, phone, email, notes) for the tenant.</w:t>
      </w:r>
    </w:p>
    <w:p>
      <w:pPr>
        <w:pStyle w:val="ListParagraph"/>
        <w:numPr>
          <w:ilvl w:val="0"/>
          <w:numId w:val="1"/>
        </w:numPr>
        <w:spacing w:after="80"/>
      </w:pPr>
      <w:r>
        <w:t xml:space="preserve">Subject to the plan's client-count limit (Section 5.1).</w:t>
      </w:r>
    </w:p>
    <w:p>
      <w:pPr>
        <w:pStyle w:val="Heading2"/>
        <w:spacing w:after="140" w:before="280"/>
      </w:pPr>
      <w:r>
        <w:t xml:space="preserve">6.4 Court Diary</w:t>
      </w:r>
    </w:p>
    <w:p>
      <w:pPr>
        <w:pStyle w:val="ListParagraph"/>
        <w:numPr>
          <w:ilvl w:val="0"/>
          <w:numId w:val="1"/>
        </w:numPr>
        <w:spacing w:after="80"/>
      </w:pPr>
      <w:r>
        <w:t xml:space="preserve">Add hearings (matter, court, date, time, purpose) and mark status (confirmed / adjourned / completed / cause list awaited).</w:t>
      </w:r>
    </w:p>
    <w:p>
      <w:pPr>
        <w:pStyle w:val="ListParagraph"/>
        <w:numPr>
          <w:ilvl w:val="0"/>
          <w:numId w:val="1"/>
        </w:numPr>
        <w:spacing w:after="80"/>
      </w:pPr>
      <w:r>
        <w:t xml:space="preserve">Hearings are grouped by date; today's date is highlighted.</w:t>
      </w:r>
    </w:p>
    <w:p>
      <w:pPr>
        <w:pStyle w:val="ListParagraph"/>
        <w:numPr>
          <w:ilvl w:val="0"/>
          <w:numId w:val="1"/>
        </w:numPr>
        <w:spacing w:after="80"/>
      </w:pPr>
      <w:r>
        <w:t xml:space="preserve">Genuine scheduling-conflict detection: two hearings sharing the same date and time are flagged — computed from real data, not a static example.</w:t>
      </w:r>
    </w:p>
    <w:p>
      <w:pPr>
        <w:pStyle w:val="Heading2"/>
        <w:spacing w:after="140" w:before="280"/>
      </w:pPr>
      <w:r>
        <w:t xml:space="preserve">6.5 Time and Billing</w:t>
      </w:r>
    </w:p>
    <w:p>
      <w:pPr>
        <w:pStyle w:val="ListParagraph"/>
        <w:numPr>
          <w:ilvl w:val="0"/>
          <w:numId w:val="1"/>
        </w:numPr>
        <w:spacing w:after="80"/>
      </w:pPr>
      <w:r>
        <w:t xml:space="preserve">Log billable time entries (matter, task, date, hours, rate).</w:t>
      </w:r>
    </w:p>
    <w:p>
      <w:pPr>
        <w:pStyle w:val="ListParagraph"/>
        <w:numPr>
          <w:ilvl w:val="0"/>
          <w:numId w:val="1"/>
        </w:numPr>
        <w:spacing w:after="80"/>
      </w:pPr>
      <w:r>
        <w:t xml:space="preserve">Create invoices (invoice number, client, matter, amount, GST amount, due date) with a manually-set status (draft / sent / paid / overdue).</w:t>
      </w:r>
    </w:p>
    <w:p>
      <w:pPr>
        <w:pStyle w:val="ListParagraph"/>
        <w:numPr>
          <w:ilvl w:val="0"/>
          <w:numId w:val="1"/>
        </w:numPr>
        <w:spacing w:after="80"/>
      </w:pPr>
      <w:r>
        <w:t xml:space="preserve">Dashboard and Billing statistics (total invoiced, work-in-progress, collected, overdue) are computed live from these records.</w:t>
      </w:r>
    </w:p>
    <w:p>
      <w:pPr>
        <w:pBdr>
          <w:left w:val="single" w:color="8B5E34" w:sz="12" w:space="8"/>
        </w:pBdr>
        <w:spacing w:after="200" w:before="80"/>
        <w:ind w:left="360"/>
      </w:pPr>
      <w:r>
        <w:rPr>
          <w:i/>
          <w:iCs/>
          <w:color w:val="5B5B5B"/>
        </w:rPr>
        <w:t xml:space="preserve">No payment gateway is integrated. Invoice status is set manually by the advocate. See Section 9 for what a real payment integration would require.</w:t>
      </w:r>
    </w:p>
    <w:p>
      <w:pPr>
        <w:pStyle w:val="Heading2"/>
        <w:spacing w:after="140" w:before="280"/>
      </w:pPr>
      <w:r>
        <w:t xml:space="preserve">6.6 AI Case Assistant</w:t>
      </w:r>
    </w:p>
    <w:p>
      <w:pPr>
        <w:pStyle w:val="ListParagraph"/>
        <w:numPr>
          <w:ilvl w:val="0"/>
          <w:numId w:val="1"/>
        </w:numPr>
        <w:spacing w:after="80"/>
      </w:pPr>
      <w:r>
        <w:t xml:space="preserve">Threaded chat with an AI legal associate, grounded with a system prompt covering Indian civil/criminal/tax/consumer/family/constitutional practice.</w:t>
      </w:r>
    </w:p>
    <w:p>
      <w:pPr>
        <w:pStyle w:val="ListParagraph"/>
        <w:numPr>
          <w:ilvl w:val="0"/>
          <w:numId w:val="1"/>
        </w:numPr>
        <w:spacing w:after="80"/>
      </w:pPr>
      <w:r>
        <w:t xml:space="preserve">Conversations and messages persist per tenant (visible to any tenant member; only the creator or a tenant admin may delete a conversation).</w:t>
      </w:r>
    </w:p>
    <w:p>
      <w:pPr>
        <w:pStyle w:val="ListParagraph"/>
        <w:numPr>
          <w:ilvl w:val="0"/>
          <w:numId w:val="1"/>
        </w:numPr>
        <w:spacing w:after="80"/>
      </w:pPr>
      <w:r>
        <w:t xml:space="preserve">Optional matter-context selection from the tenant's real matters.</w:t>
      </w:r>
    </w:p>
    <w:p>
      <w:pPr>
        <w:pStyle w:val="ListParagraph"/>
        <w:numPr>
          <w:ilvl w:val="0"/>
          <w:numId w:val="1"/>
        </w:numPr>
        <w:spacing w:after="80"/>
      </w:pPr>
      <w:r>
        <w:t xml:space="preserve">Subject to the plan's AI-calls-per-day limit.</w:t>
      </w:r>
    </w:p>
    <w:p>
      <w:pPr>
        <w:pStyle w:val="Heading2"/>
        <w:spacing w:after="140" w:before="280"/>
      </w:pPr>
      <w:r>
        <w:t xml:space="preserve">6.7 Diary and Risk Insights</w:t>
      </w:r>
    </w:p>
    <w:p>
      <w:pPr>
        <w:pStyle w:val="ListParagraph"/>
        <w:numPr>
          <w:ilvl w:val="0"/>
          <w:numId w:val="1"/>
        </w:numPr>
        <w:spacing w:after="80"/>
      </w:pPr>
      <w:r>
        <w:t xml:space="preserve">An AI-generated daily chamber briefing (hearing readiness, limitation/deadline risk, conflict/workload watch, priority actions), built from the tenant's real matters and hearings — not fabricated example data. An empty chamber correctly receives an honest “no matters or hearings on record yet” briefing rather than invented content.</w:t>
      </w:r>
    </w:p>
    <w:p>
      <w:pPr>
        <w:pStyle w:val="Heading2"/>
        <w:spacing w:after="140" w:before="280"/>
      </w:pPr>
      <w:r>
        <w:t xml:space="preserve">6.8 Document Intelligence and OCR</w:t>
      </w:r>
    </w:p>
    <w:p>
      <w:pPr>
        <w:pStyle w:val="ListParagraph"/>
        <w:numPr>
          <w:ilvl w:val="0"/>
          <w:numId w:val="1"/>
        </w:numPr>
        <w:spacing w:after="80"/>
      </w:pPr>
      <w:r>
        <w:t xml:space="preserve">Upload a .txt extract, paste text, or capture a photo via the device camera; AI returns a summary, parties, key dates, tags and drafting-risk notes, saved to the tenant.</w:t>
      </w:r>
    </w:p>
    <w:p>
      <w:pPr>
        <w:pStyle w:val="ListParagraph"/>
        <w:numPr>
          <w:ilvl w:val="0"/>
          <w:numId w:val="1"/>
        </w:numPr>
        <w:spacing w:after="80"/>
      </w:pPr>
      <w:r>
        <w:t xml:space="preserve">Camera OCR supports English and Hindi (Devanagari) via the AI provider's vision endpoint; the captured image itself is not persisted — it is used once for extraction and discarded.</w:t>
      </w:r>
    </w:p>
    <w:p>
      <w:pPr>
        <w:pStyle w:val="ListParagraph"/>
        <w:numPr>
          <w:ilvl w:val="0"/>
          <w:numId w:val="1"/>
        </w:numPr>
        <w:spacing w:after="80"/>
      </w:pPr>
      <w:r>
        <w:t xml:space="preserve">Upload size is capped (10MB) at the edge function.</w:t>
      </w:r>
    </w:p>
    <w:p>
      <w:pPr>
        <w:pStyle w:val="ListParagraph"/>
        <w:numPr>
          <w:ilvl w:val="0"/>
          <w:numId w:val="1"/>
        </w:numPr>
        <w:spacing w:after="80"/>
      </w:pPr>
      <w:r>
        <w:t xml:space="preserve">Review workflow: every analysis is created with status Pending review. The advocate (or any tenant colleague) can Approve or Reject it directly from the list; approving/rejecting is a manual quality gate only — a rejected analysis is not deleted or hidden, just marked so nobody mistakes unreviewed AI output for verified content.</w:t>
      </w:r>
    </w:p>
    <w:p>
      <w:pPr>
        <w:pBdr>
          <w:left w:val="single" w:color="8B5E34" w:sz="12" w:space="8"/>
        </w:pBdr>
        <w:spacing w:after="200" w:before="80"/>
        <w:ind w:left="360"/>
      </w:pPr>
      <w:r>
        <w:rPr>
          <w:i/>
          <w:iCs/>
          <w:color w:val="5B5B5B"/>
        </w:rPr>
        <w:t xml:space="preserve">There is no document vault / file storage subsystem. Documents are analysed as text; the underlying files (PDF, scanned images, Word docs) are not stored, versioned or made downloadable by the platform. This is also why the storage entitlement (Section 5.5) is a text-size estimate rather than a measurement of real files.</w:t>
      </w:r>
    </w:p>
    <w:p>
      <w:pPr>
        <w:pStyle w:val="Heading2"/>
        <w:spacing w:after="140" w:before="280"/>
      </w:pPr>
      <w:r>
        <w:t xml:space="preserve">6.9 Drafting Studio</w:t>
      </w:r>
    </w:p>
    <w:p>
      <w:pPr>
        <w:pStyle w:val="ListParagraph"/>
        <w:numPr>
          <w:ilvl w:val="0"/>
          <w:numId w:val="1"/>
        </w:numPr>
        <w:spacing w:after="80"/>
      </w:pPr>
      <w:r>
        <w:t xml:space="preserve">Generate a first draft of a legal document (notice, plaint, written statement, bail application, etc.) from a document type, optional matter link, and free-text instructions.</w:t>
      </w:r>
    </w:p>
    <w:p>
      <w:pPr>
        <w:pStyle w:val="ListParagraph"/>
        <w:numPr>
          <w:ilvl w:val="0"/>
          <w:numId w:val="1"/>
        </w:numPr>
        <w:spacing w:after="80"/>
      </w:pPr>
      <w:r>
        <w:t xml:space="preserve">Edit the generated draft in place, save changes, and print.</w:t>
      </w:r>
    </w:p>
    <w:p>
      <w:pPr>
        <w:pStyle w:val="ListParagraph"/>
        <w:numPr>
          <w:ilvl w:val="0"/>
          <w:numId w:val="1"/>
        </w:numPr>
        <w:spacing w:after="80"/>
      </w:pPr>
      <w:r>
        <w:t xml:space="preserve">Every draft persists per tenant with a list of recent drafts.</w:t>
      </w:r>
    </w:p>
    <w:p>
      <w:pPr>
        <w:pStyle w:val="ListParagraph"/>
        <w:numPr>
          <w:ilvl w:val="0"/>
          <w:numId w:val="1"/>
        </w:numPr>
        <w:spacing w:after="80"/>
      </w:pPr>
      <w:r>
        <w:t xml:space="preserve">Review workflow: the same Pending review / Approved / Rejected status and Approve/Reject controls as Document Intelligence (Section 6.8), shown both on the active draft and in the recent-drafts list.</w:t>
      </w:r>
    </w:p>
    <w:p>
      <w:pPr>
        <w:pStyle w:val="Heading2"/>
        <w:spacing w:after="140" w:before="280"/>
      </w:pPr>
      <w:r>
        <w:t xml:space="preserve">6.10 Voice Dictation</w:t>
      </w:r>
    </w:p>
    <w:p>
      <w:pPr>
        <w:pStyle w:val="ListParagraph"/>
        <w:numPr>
          <w:ilvl w:val="0"/>
          <w:numId w:val="1"/>
        </w:numPr>
        <w:spacing w:after="80"/>
      </w:pPr>
      <w:r>
        <w:t xml:space="preserve">Record dictation via the device/browser microphone; transcribe to text; clean up and format the transcript into a print-ready document (case note, legal notice, written statement, bail application, client advice letter, hearing minutes) respecting spoken punctuation cues (“new paragraph”, “full stop”).</w:t>
      </w:r>
    </w:p>
    <w:p>
      <w:pPr>
        <w:pStyle w:val="ListParagraph"/>
        <w:numPr>
          <w:ilvl w:val="0"/>
          <w:numId w:val="1"/>
        </w:numPr>
        <w:spacing w:after="80"/>
      </w:pPr>
      <w:r>
        <w:t xml:space="preserve">Save the formatted result (persists into the same drafts store as the Drafting Studio, and carries the same review-workflow status) and browse recent dictations.</w:t>
      </w:r>
    </w:p>
    <w:p>
      <w:pPr>
        <w:pStyle w:val="ListParagraph"/>
        <w:numPr>
          <w:ilvl w:val="0"/>
          <w:numId w:val="1"/>
        </w:numPr>
        <w:spacing w:after="80"/>
      </w:pPr>
      <w:r>
        <w:t xml:space="preserve">Optional matter linkage from the tenant's real matters.</w:t>
      </w:r>
    </w:p>
    <w:p>
      <w:pPr>
        <w:pStyle w:val="Heading2"/>
        <w:spacing w:after="140" w:before="280"/>
      </w:pPr>
      <w:r>
        <w:t xml:space="preserve">6.11 Audit Log</w:t>
      </w:r>
    </w:p>
    <w:p>
      <w:pPr>
        <w:spacing w:after="160"/>
      </w:pPr>
      <w:r>
        <w:t xml:space="preserve">An append-only record of security-relevant activity, visible to a tenant's owner/admin (their own tenant) or a platform admin (all tenants):</w:t>
      </w:r>
    </w:p>
    <w:p>
      <w:pPr>
        <w:pStyle w:val="ListParagraph"/>
        <w:numPr>
          <w:ilvl w:val="0"/>
          <w:numId w:val="1"/>
        </w:numPr>
        <w:spacing w:after="80"/>
      </w:pPr>
      <w:r>
        <w:t xml:space="preserve">Authentication events: successful login, failed login attempt, logout, signup — each with actor email, IP address, user agent and timestamp.</w:t>
      </w:r>
    </w:p>
    <w:p>
      <w:pPr>
        <w:pStyle w:val="ListParagraph"/>
        <w:numPr>
          <w:ilvl w:val="0"/>
          <w:numId w:val="1"/>
        </w:numPr>
        <w:spacing w:after="80"/>
      </w:pPr>
      <w:r>
        <w:t xml:space="preserve">Every create/update/delete on matters, clients, hearings, time entries, invoices, AI conversations, AI document analyses and AI drafts.</w:t>
      </w:r>
    </w:p>
    <w:p>
      <w:pPr>
        <w:pStyle w:val="ListParagraph"/>
        <w:numPr>
          <w:ilvl w:val="0"/>
          <w:numId w:val="1"/>
        </w:numPr>
        <w:spacing w:after="80"/>
      </w:pPr>
      <w:r>
        <w:t xml:space="preserve">Platform-admin actions: tenant creation/status changes, license/plan changes, admin grants and revokes.</w:t>
      </w:r>
    </w:p>
    <w:p>
      <w:pPr>
        <w:spacing w:after="160"/>
      </w:pPr>
      <w:r>
        <w:t xml:space="preserve">No client (authenticated or not) can insert, edit or delete audit log rows directly — every entry is written by a database trigger or a dedicated server-verified function, and no update/delete policy exists on the table at all.</w:t>
      </w:r>
    </w:p>
    <w:p>
      <w:pPr>
        <w:pStyle w:val="Heading2"/>
        <w:spacing w:after="140" w:before="280"/>
      </w:pPr>
      <w:r>
        <w:t xml:space="preserve">6.12 Team Management</w:t>
      </w:r>
    </w:p>
    <w:p>
      <w:pPr>
        <w:spacing w:after="160"/>
      </w:pPr>
      <w:r>
        <w:t xml:space="preserve">A dedicated Team page (owner/admin-facing, though reachable by any tenant member — a non-admin simply sees the roster with no invite controls) supports single-user and multi-user firms on the same underlying model:</w:t>
      </w:r>
    </w:p>
    <w:p>
      <w:pPr>
        <w:pStyle w:val="ListParagraph"/>
        <w:numPr>
          <w:ilvl w:val="0"/>
          <w:numId w:val="1"/>
        </w:numPr>
        <w:spacing w:after="80"/>
      </w:pPr>
      <w:r>
        <w:t xml:space="preserve">Member roster: every user in the tenant, with name, role (owner/admin/member) and join date.</w:t>
      </w:r>
    </w:p>
    <w:p>
      <w:pPr>
        <w:pStyle w:val="ListParagraph"/>
        <w:numPr>
          <w:ilvl w:val="0"/>
          <w:numId w:val="1"/>
        </w:numPr>
        <w:spacing w:after="80"/>
      </w:pPr>
      <w:r>
        <w:t xml:space="preserve">Invite by email: an owner/admin enters an email and picks a role (admin or member); this creates a tenant_invites row and a shareable link (there is no transactional email sending — see Section 9.6 — so the link is copied and sent by the inviter, not emailed automatically by the platform).</w:t>
      </w:r>
    </w:p>
    <w:p>
      <w:pPr>
        <w:pStyle w:val="ListParagraph"/>
        <w:numPr>
          <w:ilvl w:val="0"/>
          <w:numId w:val="1"/>
        </w:numPr>
        <w:spacing w:after="80"/>
      </w:pPr>
      <w:r>
        <w:t xml:space="preserve">Accepting an invite (a public /invite/:token page) creates a new account that joins the existing tenant directly, instead of the normal sign-up path's “create a new tenant” behaviour — verified live end-to-end with a real second account.</w:t>
      </w:r>
    </w:p>
    <w:p>
      <w:pPr>
        <w:pStyle w:val="ListParagraph"/>
        <w:numPr>
          <w:ilvl w:val="0"/>
          <w:numId w:val="1"/>
        </w:numPr>
        <w:spacing w:after="80"/>
      </w:pPr>
      <w:r>
        <w:t xml:space="preserve">Pending invites can be revoked by an owner/admin before they're accepted.</w:t>
      </w:r>
    </w:p>
    <w:p>
      <w:pPr>
        <w:pStyle w:val="ListParagraph"/>
        <w:numPr>
          <w:ilvl w:val="0"/>
          <w:numId w:val="1"/>
        </w:numPr>
        <w:spacing w:after="80"/>
      </w:pPr>
      <w:r>
        <w:t xml:space="preserve">Seats are enforced (Section 5.4): once (members + pending invites) reaches licenses.seats, further invites are rejected with a clear error until a seat is freed or the plan is upgraded.</w:t>
      </w:r>
    </w:p>
    <w:p>
      <w:pPr>
        <w:pStyle w:val="ListParagraph"/>
        <w:numPr>
          <w:ilvl w:val="0"/>
          <w:numId w:val="1"/>
        </w:numPr>
        <w:spacing w:after="80"/>
      </w:pPr>
      <w:r>
        <w:t xml:space="preserve">A Plan &amp; usage panel shows the current plan, seats used/available, and the estimated storage used/available (Section 5.5), plus whether WhatsApp is enabled for the tenant (Section 5.6).</w:t>
      </w:r>
    </w:p>
    <w:p>
      <w:pPr>
        <w:pStyle w:val="Heading1"/>
        <w:spacing w:after="200" w:before="400"/>
      </w:pPr>
      <w:r>
        <w:t xml:space="preserve">7. Security Requirements and Controls</w:t>
      </w:r>
    </w:p>
    <w:p>
      <w:pPr>
        <w:pStyle w:val="Heading2"/>
        <w:spacing w:after="140" w:before="280"/>
      </w:pPr>
      <w:r>
        <w:t xml:space="preserve">7.1 Tenant Isolation</w:t>
      </w:r>
    </w:p>
    <w:p>
      <w:pPr>
        <w:pStyle w:val="ListParagraph"/>
        <w:numPr>
          <w:ilvl w:val="0"/>
          <w:numId w:val="1"/>
        </w:numPr>
        <w:spacing w:after="80"/>
      </w:pPr>
      <w:r>
        <w:t xml:space="preserve">Enforced via PostgreSQL RLS on every table, keyed on a server-derived tenant_id — verified by direct testing that an explicitly supplied, mismatched tenant_id is rejected (HTTP 403) rather than silently ignored or honoured.</w:t>
      </w:r>
    </w:p>
    <w:p>
      <w:pPr>
        <w:pStyle w:val="ListParagraph"/>
        <w:numPr>
          <w:ilvl w:val="0"/>
          <w:numId w:val="1"/>
        </w:numPr>
        <w:spacing w:after="80"/>
      </w:pPr>
      <w:r>
        <w:t xml:space="preserve">No table relies solely on application-code discipline for isolation.</w:t>
      </w:r>
    </w:p>
    <w:p>
      <w:pPr>
        <w:pStyle w:val="Heading2"/>
        <w:spacing w:after="140" w:before="280"/>
      </w:pPr>
      <w:r>
        <w:t xml:space="preserve">7.2 API and Edge Function Security</w:t>
      </w:r>
    </w:p>
    <w:p>
      <w:pPr>
        <w:pStyle w:val="ListParagraph"/>
        <w:numPr>
          <w:ilvl w:val="0"/>
          <w:numId w:val="1"/>
        </w:numPr>
        <w:spacing w:after="80"/>
      </w:pPr>
      <w:r>
        <w:t xml:space="preserve">Every server function and edge function requires a valid, signature-verified JWT (except the two auth-audit events that inherently precede a session: failed login and pre-confirmation signup).</w:t>
      </w:r>
    </w:p>
    <w:p>
      <w:pPr>
        <w:pStyle w:val="ListParagraph"/>
        <w:numPr>
          <w:ilvl w:val="0"/>
          <w:numId w:val="1"/>
        </w:numPr>
        <w:spacing w:after="80"/>
      </w:pPr>
      <w:r>
        <w:t xml:space="preserve">CORS on edge functions is restricted to the known application origins (production Worker URL and local dev), not a wildcard.</w:t>
      </w:r>
    </w:p>
    <w:p>
      <w:pPr>
        <w:pStyle w:val="ListParagraph"/>
        <w:numPr>
          <w:ilvl w:val="0"/>
          <w:numId w:val="1"/>
        </w:numPr>
        <w:spacing w:after="80"/>
      </w:pPr>
      <w:r>
        <w:t xml:space="preserve">Object-level authorization: any client-supplied foreign-key reference (e.g. an AI conversation ID) is verified to belong to the caller's tenant before use, closing a cross-tenant write vector identified during review.</w:t>
      </w:r>
    </w:p>
    <w:p>
      <w:pPr>
        <w:pStyle w:val="Heading2"/>
        <w:spacing w:after="140" w:before="280"/>
      </w:pPr>
      <w:r>
        <w:t xml:space="preserve">7.3 Web Security Headers</w:t>
      </w:r>
    </w:p>
    <w:p>
      <w:pPr>
        <w:spacing w:after="160"/>
      </w:pPr>
      <w:r>
        <w:t xml:space="preserve">Applied globally to every response by the Cloudflare Worker: Content-Security-Policy, Strict-Transport-Security, X-Content-Type-Options, X-Frame-Options, Referrer-Policy, and Permissions-Policy (camera restricted to same-origin, for the OCR feature).</w:t>
      </w:r>
    </w:p>
    <w:p>
      <w:pPr>
        <w:pStyle w:val="Heading2"/>
        <w:spacing w:after="140" w:before="280"/>
      </w:pPr>
      <w:r>
        <w:t xml:space="preserve">7.4 Secrets Management</w:t>
      </w:r>
    </w:p>
    <w:p>
      <w:pPr>
        <w:pStyle w:val="ListParagraph"/>
        <w:numPr>
          <w:ilvl w:val="0"/>
          <w:numId w:val="1"/>
        </w:numPr>
        <w:spacing w:after="80"/>
      </w:pPr>
      <w:r>
        <w:t xml:space="preserve">The AI provider API key exists only as a Supabase Edge Function secret, never in client-bundled code or environment variables shipped to the browser/mobile app.</w:t>
      </w:r>
    </w:p>
    <w:p>
      <w:pPr>
        <w:pStyle w:val="ListParagraph"/>
        <w:numPr>
          <w:ilvl w:val="0"/>
          <w:numId w:val="1"/>
        </w:numPr>
        <w:spacing w:after="80"/>
      </w:pPr>
      <w:r>
        <w:t xml:space="preserve">The Supabase service-role key (which bypasses RLS) is not used anywhere in the deployed application.</w:t>
      </w:r>
    </w:p>
    <w:p>
      <w:pPr>
        <w:pStyle w:val="Heading2"/>
        <w:spacing w:after="140" w:before="280"/>
      </w:pPr>
      <w:r>
        <w:t xml:space="preserve">7.5 Column-Level Privilege Restrictions</w:t>
      </w:r>
    </w:p>
    <w:p>
      <w:pPr>
        <w:spacing w:after="160"/>
      </w:pPr>
      <w:r>
        <w:t xml:space="preserve">profiles.tenant_id and profiles.tenant_role — privilege-bearing columns — are not directly updatable by the owning user; only full_name, firm_name and enrolment_no are self-editable, closing a latent self-privilege-escalation path.</w:t>
      </w:r>
    </w:p>
    <w:p>
      <w:pPr>
        <w:pStyle w:val="Heading1"/>
        <w:spacing w:after="200" w:before="400"/>
      </w:pPr>
      <w:r>
        <w:t xml:space="preserve">8. Non-Functional Requirements</w:t>
      </w:r>
    </w:p>
    <w:p>
      <w:pPr>
        <w:pStyle w:val="Heading2"/>
        <w:spacing w:after="140" w:before="280"/>
      </w:pPr>
      <w:r>
        <w:t xml:space="preserve">8.1 Availability and Hosting</w:t>
      </w:r>
    </w:p>
    <w:p>
      <w:pPr>
        <w:spacing w:after="160"/>
      </w:pPr>
      <w:r>
        <w:t xml:space="preserve">Hosted entirely on managed platforms (Cloudflare Workers, Supabase) — no self-managed servers. Standard platform-level availability and TLS termination apply; no custom SLA, uptime monitoring, or alerting has been configured as part of this build.</w:t>
      </w:r>
    </w:p>
    <w:p>
      <w:pPr>
        <w:pStyle w:val="Heading2"/>
        <w:spacing w:after="140" w:before="280"/>
      </w:pPr>
      <w:r>
        <w:t xml:space="preserve">8.2 Data Residency</w:t>
      </w:r>
    </w:p>
    <w:p>
      <w:pPr>
        <w:spacing w:after="160"/>
      </w:pPr>
      <w:r>
        <w:t xml:space="preserve">The Supabase project is hosted in the ap-south-1 (Mumbai) region.</w:t>
      </w:r>
    </w:p>
    <w:p>
      <w:pPr>
        <w:pStyle w:val="Heading2"/>
        <w:spacing w:after="140" w:before="280"/>
      </w:pPr>
      <w:r>
        <w:t xml:space="preserve">8.3 Localisation</w:t>
      </w:r>
    </w:p>
    <w:p>
      <w:pPr>
        <w:spacing w:after="160"/>
      </w:pPr>
      <w:r>
        <w:t xml:space="preserve">OCR supports English and Hindi. Dictation offers English, Hindi, Marathi and Tamil language selection for transcription. No UI localisation (translated interface text) is implemented — the application interface itself is English-only.</w:t>
      </w:r>
    </w:p>
    <w:p>
      <w:pPr>
        <w:pStyle w:val="Heading2"/>
        <w:spacing w:after="140" w:before="280"/>
      </w:pPr>
      <w:r>
        <w:t xml:space="preserve">8.4 Browser and Device Support</w:t>
      </w:r>
    </w:p>
    <w:p>
      <w:pPr>
        <w:spacing w:after="160"/>
      </w:pPr>
      <w:r>
        <w:t xml:space="preserve">Modern evergreen browsers (the application uses current React/Vite tooling with no legacy-browser shims). Mobile access is via the Capacitor-wrapped app (Android/iOS) or directly through a mobile browser — both load the same responsive web application.</w:t>
      </w:r>
    </w:p>
    <w:p>
      <w:pPr>
        <w:pStyle w:val="Heading1"/>
        <w:spacing w:after="200" w:before="400"/>
      </w:pPr>
      <w:r>
        <w:t xml:space="preserve">9. Known Gaps and Out-of-Scope Items</w:t>
      </w:r>
    </w:p>
    <w:p>
      <w:pPr>
        <w:spacing w:after="160"/>
      </w:pPr>
      <w:r>
        <w:t xml:space="preserve">Stated explicitly, per the principle that an accurate specification must record what is not built, not only what is:</w:t>
      </w:r>
    </w:p>
    <w:p>
      <w:pPr>
        <w:pStyle w:val="Heading3"/>
        <w:spacing w:after="100" w:before="200"/>
      </w:pPr>
      <w:r>
        <w:t xml:space="preserve">9.1 Payments</w:t>
      </w:r>
    </w:p>
    <w:p>
      <w:pPr>
        <w:pStyle w:val="ListParagraph"/>
        <w:numPr>
          <w:ilvl w:val="0"/>
          <w:numId w:val="1"/>
        </w:numPr>
        <w:spacing w:after="80"/>
      </w:pPr>
      <w:r>
        <w:t xml:space="preserve">No Razorpay/UPI or any payment gateway integration exists. Invoice status is entered manually by the advocate.</w:t>
      </w:r>
    </w:p>
    <w:p>
      <w:pPr>
        <w:pStyle w:val="ListParagraph"/>
        <w:numPr>
          <w:ilvl w:val="0"/>
          <w:numId w:val="1"/>
        </w:numPr>
        <w:spacing w:after="80"/>
      </w:pPr>
      <w:r>
        <w:t xml:space="preserve">Implementing real payment collection requires: webhook signature verification, idempotency handling for webhook retries/replays, and a defined state machine for trial → active → past_due → grace → suspended → cancelled → deletion-scheduled, including what happens to data at each transition.</w:t>
      </w:r>
    </w:p>
    <w:p>
      <w:pPr>
        <w:pStyle w:val="Heading3"/>
        <w:spacing w:after="100" w:before="200"/>
      </w:pPr>
      <w:r>
        <w:t xml:space="preserve">9.2 Multi-User Firms — Remaining Gaps</w:t>
      </w:r>
    </w:p>
    <w:p>
      <w:pPr>
        <w:pStyle w:val="ListParagraph"/>
        <w:numPr>
          <w:ilvl w:val="0"/>
          <w:numId w:val="1"/>
        </w:numPr>
        <w:spacing w:after="80"/>
      </w:pPr>
      <w:r>
        <w:t xml:space="preserve">The core invite/join flow, seat enforcement, and tenant_role-based permissions are built and verified (Sections 5.4, 6.12) — this is narrower than the original gap.</w:t>
      </w:r>
    </w:p>
    <w:p>
      <w:pPr>
        <w:pStyle w:val="ListParagraph"/>
        <w:numPr>
          <w:ilvl w:val="0"/>
          <w:numId w:val="1"/>
        </w:numPr>
        <w:spacing w:after="80"/>
      </w:pPr>
      <w:r>
        <w:t xml:space="preserve">No email delivery: invites are shared as a manually-copied link, not sent automatically (Section 9.6).</w:t>
      </w:r>
    </w:p>
    <w:p>
      <w:pPr>
        <w:pStyle w:val="ListParagraph"/>
        <w:numPr>
          <w:ilvl w:val="0"/>
          <w:numId w:val="1"/>
        </w:numPr>
        <w:spacing w:after="80"/>
      </w:pPr>
      <w:r>
        <w:t xml:space="preserve">An invited email that already has an account elsewhere on the platform cannot accept the invite — sign-up fails rather than merging into the new tenant. Supporting an existing user joining a second tenant, or switching tenants, is not implemented.</w:t>
      </w:r>
    </w:p>
    <w:p>
      <w:pPr>
        <w:pStyle w:val="ListParagraph"/>
        <w:numPr>
          <w:ilvl w:val="0"/>
          <w:numId w:val="1"/>
        </w:numPr>
        <w:spacing w:after="80"/>
      </w:pPr>
      <w:r>
        <w:t xml:space="preserve">No UI exists yet for an owner/admin to change an existing member's role or remove a member from the tenant after they've joined — only invite creation and revocation (of a still-pending invite) are supported.</w:t>
      </w:r>
    </w:p>
    <w:p>
      <w:pPr>
        <w:pStyle w:val="ListParagraph"/>
        <w:numPr>
          <w:ilvl w:val="0"/>
          <w:numId w:val="1"/>
        </w:numPr>
        <w:spacing w:after="80"/>
      </w:pPr>
      <w:r>
        <w:t xml:space="preserve">AI usage quota is per-user, not pooled per-tenant (Section 5.3) — a real, now-active consideration for multi-user firms rather than a hypothetical one.</w:t>
      </w:r>
    </w:p>
    <w:p>
      <w:pPr>
        <w:pStyle w:val="Heading3"/>
        <w:spacing w:after="100" w:before="200"/>
      </w:pPr>
      <w:r>
        <w:t xml:space="preserve">9.3 Document Storage</w:t>
      </w:r>
    </w:p>
    <w:p>
      <w:pPr>
        <w:pStyle w:val="ListParagraph"/>
        <w:numPr>
          <w:ilvl w:val="0"/>
          <w:numId w:val="1"/>
        </w:numPr>
        <w:spacing w:after="80"/>
      </w:pPr>
      <w:r>
        <w:t xml:space="preserve">No object storage (S3/R2/Supabase Storage) is provisioned. There is no document vault, no file versioning, no upload/download of the original files behind an AI analysis — only the extracted text and AI output persist.</w:t>
      </w:r>
    </w:p>
    <w:p>
      <w:pPr>
        <w:pStyle w:val="Heading3"/>
        <w:spacing w:after="100" w:before="200"/>
      </w:pPr>
      <w:r>
        <w:t xml:space="preserve">9.4 Offline / Mobile-Specific Capability</w:t>
      </w:r>
    </w:p>
    <w:p>
      <w:pPr>
        <w:pStyle w:val="ListParagraph"/>
        <w:numPr>
          <w:ilvl w:val="0"/>
          <w:numId w:val="1"/>
        </w:numPr>
        <w:spacing w:after="80"/>
      </w:pPr>
      <w:r>
        <w:t xml:space="preserve">The Capacitor app loads the live web application over HTTPS; there is no bundled offline mode, no local database, and no offline-first sync. The app is non-functional without network connectivity.</w:t>
      </w:r>
    </w:p>
    <w:p>
      <w:pPr>
        <w:pStyle w:val="ListParagraph"/>
        <w:numPr>
          <w:ilvl w:val="0"/>
          <w:numId w:val="1"/>
        </w:numPr>
        <w:spacing w:after="80"/>
      </w:pPr>
      <w:r>
        <w:t xml:space="preserve">Authentication tokens are stored in the WebView's localStorage, not the platform Keychain/Keystore.</w:t>
      </w:r>
    </w:p>
    <w:p>
      <w:pPr>
        <w:pStyle w:val="Heading3"/>
        <w:spacing w:after="100" w:before="200"/>
      </w:pPr>
      <w:r>
        <w:t xml:space="preserve">9.5 e-Courts / External Integrations</w:t>
      </w:r>
    </w:p>
    <w:p>
      <w:pPr>
        <w:pStyle w:val="ListParagraph"/>
        <w:numPr>
          <w:ilvl w:val="0"/>
          <w:numId w:val="1"/>
        </w:numPr>
        <w:spacing w:after="80"/>
      </w:pPr>
      <w:r>
        <w:t xml:space="preserve">No CNR lookup, case-status polling, or any e-Courts API integration exists, despite being referenced in earlier marketing copy.</w:t>
      </w:r>
    </w:p>
    <w:p>
      <w:pPr>
        <w:pStyle w:val="Heading3"/>
        <w:spacing w:after="100" w:before="200"/>
      </w:pPr>
      <w:r>
        <w:t xml:space="preserve">9.6 Notifications</w:t>
      </w:r>
    </w:p>
    <w:p>
      <w:pPr>
        <w:pStyle w:val="ListParagraph"/>
        <w:numPr>
          <w:ilvl w:val="0"/>
          <w:numId w:val="1"/>
        </w:numPr>
        <w:spacing w:after="80"/>
      </w:pPr>
      <w:r>
        <w:t xml:space="preserve">No push notifications, SMS, or transactional email sending is implemented. The in-app notification bell is presentational only.</w:t>
      </w:r>
    </w:p>
    <w:p>
      <w:pPr>
        <w:pStyle w:val="ListParagraph"/>
        <w:numPr>
          <w:ilvl w:val="0"/>
          <w:numId w:val="1"/>
        </w:numPr>
        <w:spacing w:after="80"/>
      </w:pPr>
      <w:r>
        <w:t xml:space="preserve">WhatsApp has a licensing entitlement and an admin toggle (Section 5.6) but no real provider connection — enabling it for a tenant only reveals a status panel, it does not enable sending. A provider (Meta Cloud API, Twilio, Gupshup, etc.) and credentials would need to be supplied and wired into a new edge function before any message could actually be sent.</w:t>
      </w:r>
    </w:p>
    <w:p>
      <w:pPr>
        <w:pStyle w:val="ListParagraph"/>
        <w:numPr>
          <w:ilvl w:val="0"/>
          <w:numId w:val="1"/>
        </w:numPr>
        <w:spacing w:after="80"/>
      </w:pPr>
      <w:r>
        <w:t xml:space="preserve">Team invites (Section 6.12) are delivered as a manually-shared link for the same reason — no email sending exists to deliver them automatically.</w:t>
      </w:r>
    </w:p>
    <w:p>
      <w:pPr>
        <w:pStyle w:val="Heading3"/>
        <w:spacing w:after="100" w:before="200"/>
      </w:pPr>
      <w:r>
        <w:t xml:space="preserve">9.7 Background Processing</w:t>
      </w:r>
    </w:p>
    <w:p>
      <w:pPr>
        <w:pStyle w:val="ListParagraph"/>
        <w:numPr>
          <w:ilvl w:val="0"/>
          <w:numId w:val="1"/>
        </w:numPr>
        <w:spacing w:after="80"/>
      </w:pPr>
      <w:r>
        <w:t xml:space="preserve">All operations are synchronous request/response; there is no job queue, worker process, or scheduled task infrastructure.</w:t>
      </w:r>
    </w:p>
    <w:p>
      <w:pPr>
        <w:pStyle w:val="Heading3"/>
        <w:spacing w:after="100" w:before="200"/>
      </w:pPr>
      <w:r>
        <w:t xml:space="preserve">9.8 Formal Data Retention</w:t>
      </w:r>
    </w:p>
    <w:p>
      <w:pPr>
        <w:pStyle w:val="ListParagraph"/>
        <w:numPr>
          <w:ilvl w:val="0"/>
          <w:numId w:val="1"/>
        </w:numPr>
        <w:spacing w:after="80"/>
      </w:pPr>
      <w:r>
        <w:t xml:space="preserve">Deleting a tenant (via the admin console) cascades immediately to its license and, indirectly, orphans its business records via ON DELETE SET NULL rather than following any formal retention/grace-period/legal-hold policy.</w:t>
      </w:r>
    </w:p>
    <w:p>
      <w:pPr>
        <w:pStyle w:val="Heading3"/>
        <w:spacing w:after="100" w:before="200"/>
      </w:pPr>
      <w:r>
        <w:t xml:space="preserve">9.9 Automated Testing</w:t>
      </w:r>
    </w:p>
    <w:p>
      <w:pPr>
        <w:pStyle w:val="ListParagraph"/>
        <w:numPr>
          <w:ilvl w:val="0"/>
          <w:numId w:val="1"/>
        </w:numPr>
        <w:spacing w:after="80"/>
      </w:pPr>
      <w:r>
        <w:t xml:space="preserve">No automated test suite exists. Verification throughout development has been direct, manual testing against the live production system (UI interaction, direct REST/RPC calls, and database inspection).</w:t>
      </w:r>
    </w:p>
    <w:p>
      <w:pPr>
        <w:pStyle w:val="Heading1"/>
        <w:spacing w:after="200" w:before="400"/>
      </w:pPr>
      <w:r>
        <w:t xml:space="preserve">10. Appendix A: Edge Functions Reference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c>
          <w:tcPr>
            <w:tcW w:type="dxa" w:w="2600"/>
            <w:shd w:fill="121B33" w:val="clear"/>
            <w:tcMar>
              <w:top w:type="dxa" w:w="80"/>
              <w:left w:type="dxa" w:w="100"/>
              <w:bottom w:type="dxa" w:w="80"/>
              <w:right w:type="dxa" w:w="100"/>
            </w:tcMar>
          </w:tcPr>
          <w:p>
            <w:r>
              <w:rPr>
                <w:b/>
                <w:bCs/>
                <w:color w:val="FFFFFF"/>
                <w:sz w:val="20"/>
                <w:szCs w:val="20"/>
              </w:rPr>
              <w:t xml:space="preserve">Function</w:t>
            </w:r>
          </w:p>
        </w:tc>
        <w:tc>
          <w:tcPr>
            <w:tcW w:type="dxa" w:w="6960"/>
            <w:shd w:fill="121B33" w:val="clear"/>
            <w:tcMar>
              <w:top w:type="dxa" w:w="80"/>
              <w:left w:type="dxa" w:w="100"/>
              <w:bottom w:type="dxa" w:w="80"/>
              <w:right w:type="dxa" w:w="100"/>
            </w:tcMar>
          </w:tcPr>
          <w:p>
            <w:r>
              <w:rPr>
                <w:b/>
                <w:bCs/>
                <w:color w:val="FFFFFF"/>
                <w:sz w:val="20"/>
                <w:szCs w:val="20"/>
              </w:rPr>
              <w:t xml:space="preserve">Purpose</w:t>
            </w:r>
          </w:p>
        </w:tc>
      </w:tr>
      <w:tr>
        <w:tc>
          <w:tcPr>
            <w:tcW w:type="dxa" w:w="2600"/>
            <w:tcMar>
              <w:top w:type="dxa" w:w="80"/>
              <w:left w:type="dxa" w:w="100"/>
              <w:bottom w:type="dxa" w:w="80"/>
              <w:right w:type="dxa" w:w="100"/>
            </w:tcMar>
          </w:tcPr>
          <w:p>
            <w:r>
              <w:rPr>
                <w:b w:val="false"/>
                <w:bCs w:val="false"/>
                <w:color w:val="000000"/>
                <w:sz w:val="20"/>
                <w:szCs w:val="20"/>
              </w:rPr>
              <w:t xml:space="preserve">ai-assistant</w:t>
            </w:r>
          </w:p>
        </w:tc>
        <w:tc>
          <w:tcPr>
            <w:tcW w:type="dxa" w:w="6960"/>
            <w:tcMar>
              <w:top w:type="dxa" w:w="80"/>
              <w:left w:type="dxa" w:w="100"/>
              <w:bottom w:type="dxa" w:w="80"/>
              <w:right w:type="dxa" w:w="100"/>
            </w:tcMar>
          </w:tcPr>
          <w:p>
            <w:r>
              <w:rPr>
                <w:b w:val="false"/>
                <w:bCs w:val="false"/>
                <w:color w:val="000000"/>
                <w:sz w:val="20"/>
                <w:szCs w:val="20"/>
              </w:rPr>
              <w:t xml:space="preserve">Threaded AI chat, persists conversations/messages.</w:t>
            </w:r>
          </w:p>
        </w:tc>
      </w:tr>
      <w:tr>
        <w:tc>
          <w:tcPr>
            <w:tcW w:type="dxa" w:w="2600"/>
            <w:tcMar>
              <w:top w:type="dxa" w:w="80"/>
              <w:left w:type="dxa" w:w="100"/>
              <w:bottom w:type="dxa" w:w="80"/>
              <w:right w:type="dxa" w:w="100"/>
            </w:tcMar>
          </w:tcPr>
          <w:p>
            <w:r>
              <w:rPr>
                <w:b w:val="false"/>
                <w:bCs w:val="false"/>
                <w:color w:val="000000"/>
                <w:sz w:val="20"/>
                <w:szCs w:val="20"/>
              </w:rPr>
              <w:t xml:space="preserve">ai-analyze-document</w:t>
            </w:r>
          </w:p>
        </w:tc>
        <w:tc>
          <w:tcPr>
            <w:tcW w:type="dxa" w:w="6960"/>
            <w:tcMar>
              <w:top w:type="dxa" w:w="80"/>
              <w:left w:type="dxa" w:w="100"/>
              <w:bottom w:type="dxa" w:w="80"/>
              <w:right w:type="dxa" w:w="100"/>
            </w:tcMar>
          </w:tcPr>
          <w:p>
            <w:r>
              <w:rPr>
                <w:b w:val="false"/>
                <w:bCs w:val="false"/>
                <w:color w:val="000000"/>
                <w:sz w:val="20"/>
                <w:szCs w:val="20"/>
              </w:rPr>
              <w:t xml:space="preserve">Document text analysis (summary, parties, dates, risks).</w:t>
            </w:r>
          </w:p>
        </w:tc>
      </w:tr>
      <w:tr>
        <w:tc>
          <w:tcPr>
            <w:tcW w:type="dxa" w:w="2600"/>
            <w:tcMar>
              <w:top w:type="dxa" w:w="80"/>
              <w:left w:type="dxa" w:w="100"/>
              <w:bottom w:type="dxa" w:w="80"/>
              <w:right w:type="dxa" w:w="100"/>
            </w:tcMar>
          </w:tcPr>
          <w:p>
            <w:r>
              <w:rPr>
                <w:b w:val="false"/>
                <w:bCs w:val="false"/>
                <w:color w:val="000000"/>
                <w:sz w:val="20"/>
                <w:szCs w:val="20"/>
              </w:rPr>
              <w:t xml:space="preserve">ai-generate-draft</w:t>
            </w:r>
          </w:p>
        </w:tc>
        <w:tc>
          <w:tcPr>
            <w:tcW w:type="dxa" w:w="6960"/>
            <w:tcMar>
              <w:top w:type="dxa" w:w="80"/>
              <w:left w:type="dxa" w:w="100"/>
              <w:bottom w:type="dxa" w:w="80"/>
              <w:right w:type="dxa" w:w="100"/>
            </w:tcMar>
          </w:tcPr>
          <w:p>
            <w:r>
              <w:rPr>
                <w:b w:val="false"/>
                <w:bCs w:val="false"/>
                <w:color w:val="000000"/>
                <w:sz w:val="20"/>
                <w:szCs w:val="20"/>
              </w:rPr>
              <w:t xml:space="preserve">Generates a legal draft from instructions.</w:t>
            </w:r>
          </w:p>
        </w:tc>
      </w:tr>
      <w:tr>
        <w:tc>
          <w:tcPr>
            <w:tcW w:type="dxa" w:w="2600"/>
            <w:tcMar>
              <w:top w:type="dxa" w:w="80"/>
              <w:left w:type="dxa" w:w="100"/>
              <w:bottom w:type="dxa" w:w="80"/>
              <w:right w:type="dxa" w:w="100"/>
            </w:tcMar>
          </w:tcPr>
          <w:p>
            <w:r>
              <w:rPr>
                <w:b w:val="false"/>
                <w:bCs w:val="false"/>
                <w:color w:val="000000"/>
                <w:sz w:val="20"/>
                <w:szCs w:val="20"/>
              </w:rPr>
              <w:t xml:space="preserve">ai-generate-briefing</w:t>
            </w:r>
          </w:p>
        </w:tc>
        <w:tc>
          <w:tcPr>
            <w:tcW w:type="dxa" w:w="6960"/>
            <w:tcMar>
              <w:top w:type="dxa" w:w="80"/>
              <w:left w:type="dxa" w:w="100"/>
              <w:bottom w:type="dxa" w:w="80"/>
              <w:right w:type="dxa" w:w="100"/>
            </w:tcMar>
          </w:tcPr>
          <w:p>
            <w:r>
              <w:rPr>
                <w:b w:val="false"/>
                <w:bCs w:val="false"/>
                <w:color w:val="000000"/>
                <w:sz w:val="20"/>
                <w:szCs w:val="20"/>
              </w:rPr>
              <w:t xml:space="preserve">Generates the Diary &amp; Insights chamber briefing.</w:t>
            </w:r>
          </w:p>
        </w:tc>
      </w:tr>
      <w:tr>
        <w:tc>
          <w:tcPr>
            <w:tcW w:type="dxa" w:w="2600"/>
            <w:tcMar>
              <w:top w:type="dxa" w:w="80"/>
              <w:left w:type="dxa" w:w="100"/>
              <w:bottom w:type="dxa" w:w="80"/>
              <w:right w:type="dxa" w:w="100"/>
            </w:tcMar>
          </w:tcPr>
          <w:p>
            <w:r>
              <w:rPr>
                <w:b w:val="false"/>
                <w:bCs w:val="false"/>
                <w:color w:val="000000"/>
                <w:sz w:val="20"/>
                <w:szCs w:val="20"/>
              </w:rPr>
              <w:t xml:space="preserve">dictation-transcribe</w:t>
            </w:r>
          </w:p>
        </w:tc>
        <w:tc>
          <w:tcPr>
            <w:tcW w:type="dxa" w:w="6960"/>
            <w:tcMar>
              <w:top w:type="dxa" w:w="80"/>
              <w:left w:type="dxa" w:w="100"/>
              <w:bottom w:type="dxa" w:w="80"/>
              <w:right w:type="dxa" w:w="100"/>
            </w:tcMar>
          </w:tcPr>
          <w:p>
            <w:r>
              <w:rPr>
                <w:b w:val="false"/>
                <w:bCs w:val="false"/>
                <w:color w:val="000000"/>
                <w:sz w:val="20"/>
                <w:szCs w:val="20"/>
              </w:rPr>
              <w:t xml:space="preserve">Speech-to-text for voice dictation.</w:t>
            </w:r>
          </w:p>
        </w:tc>
      </w:tr>
      <w:tr>
        <w:tc>
          <w:tcPr>
            <w:tcW w:type="dxa" w:w="2600"/>
            <w:tcMar>
              <w:top w:type="dxa" w:w="80"/>
              <w:left w:type="dxa" w:w="100"/>
              <w:bottom w:type="dxa" w:w="80"/>
              <w:right w:type="dxa" w:w="100"/>
            </w:tcMar>
          </w:tcPr>
          <w:p>
            <w:r>
              <w:rPr>
                <w:b w:val="false"/>
                <w:bCs w:val="false"/>
                <w:color w:val="000000"/>
                <w:sz w:val="20"/>
                <w:szCs w:val="20"/>
              </w:rPr>
              <w:t xml:space="preserve">dictation-format</w:t>
            </w:r>
          </w:p>
        </w:tc>
        <w:tc>
          <w:tcPr>
            <w:tcW w:type="dxa" w:w="6960"/>
            <w:tcMar>
              <w:top w:type="dxa" w:w="80"/>
              <w:left w:type="dxa" w:w="100"/>
              <w:bottom w:type="dxa" w:w="80"/>
              <w:right w:type="dxa" w:w="100"/>
            </w:tcMar>
          </w:tcPr>
          <w:p>
            <w:r>
              <w:rPr>
                <w:b w:val="false"/>
                <w:bCs w:val="false"/>
                <w:color w:val="000000"/>
                <w:sz w:val="20"/>
                <w:szCs w:val="20"/>
              </w:rPr>
              <w:t xml:space="preserve">Formats a raw transcript into a print-ready draft.</w:t>
            </w:r>
          </w:p>
        </w:tc>
      </w:tr>
      <w:tr>
        <w:tc>
          <w:tcPr>
            <w:tcW w:type="dxa" w:w="2600"/>
            <w:tcMar>
              <w:top w:type="dxa" w:w="80"/>
              <w:left w:type="dxa" w:w="100"/>
              <w:bottom w:type="dxa" w:w="80"/>
              <w:right w:type="dxa" w:w="100"/>
            </w:tcMar>
          </w:tcPr>
          <w:p>
            <w:r>
              <w:rPr>
                <w:b w:val="false"/>
                <w:bCs w:val="false"/>
                <w:color w:val="000000"/>
                <w:sz w:val="20"/>
                <w:szCs w:val="20"/>
              </w:rPr>
              <w:t xml:space="preserve">ocr-extract</w:t>
            </w:r>
          </w:p>
        </w:tc>
        <w:tc>
          <w:tcPr>
            <w:tcW w:type="dxa" w:w="6960"/>
            <w:tcMar>
              <w:top w:type="dxa" w:w="80"/>
              <w:left w:type="dxa" w:w="100"/>
              <w:bottom w:type="dxa" w:w="80"/>
              <w:right w:type="dxa" w:w="100"/>
            </w:tcMar>
          </w:tcPr>
          <w:p>
            <w:r>
              <w:rPr>
                <w:b w:val="false"/>
                <w:bCs w:val="false"/>
                <w:color w:val="000000"/>
                <w:sz w:val="20"/>
                <w:szCs w:val="20"/>
              </w:rPr>
              <w:t xml:space="preserve">Vision-based OCR on a camera-captured document photo.</w:t>
            </w:r>
          </w:p>
        </w:tc>
      </w:tr>
      <w:tr>
        <w:tc>
          <w:tcPr>
            <w:tcW w:type="dxa" w:w="2600"/>
            <w:tcMar>
              <w:top w:type="dxa" w:w="80"/>
              <w:left w:type="dxa" w:w="100"/>
              <w:bottom w:type="dxa" w:w="80"/>
              <w:right w:type="dxa" w:w="100"/>
            </w:tcMar>
          </w:tcPr>
          <w:p>
            <w:r>
              <w:rPr>
                <w:b w:val="false"/>
                <w:bCs w:val="false"/>
                <w:color w:val="000000"/>
                <w:sz w:val="20"/>
                <w:szCs w:val="20"/>
              </w:rPr>
              <w:t xml:space="preserve">audit-log-auth</w:t>
            </w:r>
          </w:p>
        </w:tc>
        <w:tc>
          <w:tcPr>
            <w:tcW w:type="dxa" w:w="6960"/>
            <w:tcMar>
              <w:top w:type="dxa" w:w="80"/>
              <w:left w:type="dxa" w:w="100"/>
              <w:bottom w:type="dxa" w:w="80"/>
              <w:right w:type="dxa" w:w="100"/>
            </w:tcMar>
          </w:tcPr>
          <w:p>
            <w:r>
              <w:rPr>
                <w:b w:val="false"/>
                <w:bCs w:val="false"/>
                <w:color w:val="000000"/>
                <w:sz w:val="20"/>
                <w:szCs w:val="20"/>
              </w:rPr>
              <w:t xml:space="preserve">Captures login/logout/signup/failed-login events with IP and user agent.</w:t>
            </w:r>
          </w:p>
        </w:tc>
      </w:tr>
    </w:tbl>
    <w:p>
      <w:pPr>
        <w:pStyle w:val="Heading1"/>
        <w:spacing w:after="200" w:before="400"/>
      </w:pPr>
      <w:r>
        <w:t xml:space="preserve">11. Appendix B: Key Database Functions</w:t>
      </w:r>
    </w:p>
    <w:p>
      <w:pPr>
        <w:spacing w:after="160"/>
      </w:pPr>
      <w:r>
        <w:t xml:space="preserve">Enforcement and cross-cutting logic implemented as PostgreSQL functions (SECURITY DEFINER unless noted), callable only where explicitly granted — never broadly to anon/authenticated beyond what each needs.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c>
          <w:tcPr>
            <w:tcW w:type="dxa" w:w="3200"/>
            <w:shd w:fill="121B33" w:val="clear"/>
            <w:tcMar>
              <w:top w:type="dxa" w:w="80"/>
              <w:left w:type="dxa" w:w="100"/>
              <w:bottom w:type="dxa" w:w="80"/>
              <w:right w:type="dxa" w:w="100"/>
            </w:tcMar>
          </w:tcPr>
          <w:p>
            <w:r>
              <w:rPr>
                <w:b/>
                <w:bCs/>
                <w:color w:val="FFFFFF"/>
                <w:sz w:val="20"/>
                <w:szCs w:val="20"/>
              </w:rPr>
              <w:t xml:space="preserve">Function</w:t>
            </w:r>
          </w:p>
        </w:tc>
        <w:tc>
          <w:tcPr>
            <w:tcW w:type="dxa" w:w="6360"/>
            <w:shd w:fill="121B33" w:val="clear"/>
            <w:tcMar>
              <w:top w:type="dxa" w:w="80"/>
              <w:left w:type="dxa" w:w="100"/>
              <w:bottom w:type="dxa" w:w="80"/>
              <w:right w:type="dxa" w:w="100"/>
            </w:tcMar>
          </w:tcPr>
          <w:p>
            <w:r>
              <w:rPr>
                <w:b/>
                <w:bCs/>
                <w:color w:val="FFFFFF"/>
                <w:sz w:val="20"/>
                <w:szCs w:val="20"/>
              </w:rPr>
              <w:t xml:space="preserve">Purpose</w:t>
            </w:r>
          </w:p>
        </w:tc>
      </w:tr>
      <w:tr>
        <w:tc>
          <w:tcPr>
            <w:tcW w:type="dxa" w:w="3200"/>
            <w:tcMar>
              <w:top w:type="dxa" w:w="80"/>
              <w:left w:type="dxa" w:w="100"/>
              <w:bottom w:type="dxa" w:w="80"/>
              <w:right w:type="dxa" w:w="100"/>
            </w:tcMar>
          </w:tcPr>
          <w:p>
            <w:r>
              <w:rPr>
                <w:b w:val="false"/>
                <w:bCs w:val="false"/>
                <w:color w:val="000000"/>
                <w:sz w:val="20"/>
                <w:szCs w:val="20"/>
              </w:rPr>
              <w:t xml:space="preserve">plan_limit(plan, resource)</w:t>
            </w:r>
          </w:p>
        </w:tc>
        <w:tc>
          <w:tcPr>
            <w:tcW w:type="dxa" w:w="6360"/>
            <w:tcMar>
              <w:top w:type="dxa" w:w="80"/>
              <w:left w:type="dxa" w:w="100"/>
              <w:bottom w:type="dxa" w:w="80"/>
              <w:right w:type="dxa" w:w="100"/>
            </w:tcMar>
          </w:tcPr>
          <w:p>
            <w:r>
              <w:rPr>
                <w:b w:val="false"/>
                <w:bCs w:val="false"/>
                <w:color w:val="000000"/>
                <w:sz w:val="20"/>
                <w:szCs w:val="20"/>
              </w:rPr>
              <w:t xml:space="preserve">Returns the numeric limit for a plan/resource pair (matters, clients, ai_calls_per_day, storage_mb); NULL means unlimited.</w:t>
            </w:r>
          </w:p>
        </w:tc>
      </w:tr>
      <w:tr>
        <w:tc>
          <w:tcPr>
            <w:tcW w:type="dxa" w:w="3200"/>
            <w:tcMar>
              <w:top w:type="dxa" w:w="80"/>
              <w:left w:type="dxa" w:w="100"/>
              <w:bottom w:type="dxa" w:w="80"/>
              <w:right w:type="dxa" w:w="100"/>
            </w:tcMar>
          </w:tcPr>
          <w:p>
            <w:r>
              <w:rPr>
                <w:b w:val="false"/>
                <w:bCs w:val="false"/>
                <w:color w:val="000000"/>
                <w:sz w:val="20"/>
                <w:szCs w:val="20"/>
              </w:rPr>
              <w:t xml:space="preserve">enforce_tenant_writable()</w:t>
            </w:r>
          </w:p>
        </w:tc>
        <w:tc>
          <w:tcPr>
            <w:tcW w:type="dxa" w:w="6360"/>
            <w:tcMar>
              <w:top w:type="dxa" w:w="80"/>
              <w:left w:type="dxa" w:w="100"/>
              <w:bottom w:type="dxa" w:w="80"/>
              <w:right w:type="dxa" w:w="100"/>
            </w:tcMar>
          </w:tcPr>
          <w:p>
            <w:r>
              <w:rPr>
                <w:b w:val="false"/>
                <w:bCs w:val="false"/>
                <w:color w:val="000000"/>
                <w:sz w:val="20"/>
                <w:szCs w:val="20"/>
              </w:rPr>
              <w:t xml:space="preserve">Trigger — blocks insert/update/delete on a tenant-owned table when that tenant's license status is cancelled.</w:t>
            </w:r>
          </w:p>
        </w:tc>
      </w:tr>
      <w:tr>
        <w:tc>
          <w:tcPr>
            <w:tcW w:type="dxa" w:w="3200"/>
            <w:tcMar>
              <w:top w:type="dxa" w:w="80"/>
              <w:left w:type="dxa" w:w="100"/>
              <w:bottom w:type="dxa" w:w="80"/>
              <w:right w:type="dxa" w:w="100"/>
            </w:tcMar>
          </w:tcPr>
          <w:p>
            <w:r>
              <w:rPr>
                <w:b w:val="false"/>
                <w:bCs w:val="false"/>
                <w:color w:val="000000"/>
                <w:sz w:val="20"/>
                <w:szCs w:val="20"/>
              </w:rPr>
              <w:t xml:space="preserve">enforce_resource_limit()</w:t>
            </w:r>
          </w:p>
        </w:tc>
        <w:tc>
          <w:tcPr>
            <w:tcW w:type="dxa" w:w="6360"/>
            <w:tcMar>
              <w:top w:type="dxa" w:w="80"/>
              <w:left w:type="dxa" w:w="100"/>
              <w:bottom w:type="dxa" w:w="80"/>
              <w:right w:type="dxa" w:w="100"/>
            </w:tcMar>
          </w:tcPr>
          <w:p>
            <w:r>
              <w:rPr>
                <w:b w:val="false"/>
                <w:bCs w:val="false"/>
                <w:color w:val="000000"/>
                <w:sz w:val="20"/>
                <w:szCs w:val="20"/>
              </w:rPr>
              <w:t xml:space="preserve">Trigger — blocks inserting a matter/client past the plan's limit.</w:t>
            </w:r>
          </w:p>
        </w:tc>
      </w:tr>
      <w:tr>
        <w:tc>
          <w:tcPr>
            <w:tcW w:type="dxa" w:w="3200"/>
            <w:tcMar>
              <w:top w:type="dxa" w:w="80"/>
              <w:left w:type="dxa" w:w="100"/>
              <w:bottom w:type="dxa" w:w="80"/>
              <w:right w:type="dxa" w:w="100"/>
            </w:tcMar>
          </w:tcPr>
          <w:p>
            <w:r>
              <w:rPr>
                <w:b w:val="false"/>
                <w:bCs w:val="false"/>
                <w:color w:val="000000"/>
                <w:sz w:val="20"/>
                <w:szCs w:val="20"/>
              </w:rPr>
              <w:t xml:space="preserve">enforce_seat_limit()</w:t>
            </w:r>
          </w:p>
        </w:tc>
        <w:tc>
          <w:tcPr>
            <w:tcW w:type="dxa" w:w="6360"/>
            <w:tcMar>
              <w:top w:type="dxa" w:w="80"/>
              <w:left w:type="dxa" w:w="100"/>
              <w:bottom w:type="dxa" w:w="80"/>
              <w:right w:type="dxa" w:w="100"/>
            </w:tcMar>
          </w:tcPr>
          <w:p>
            <w:r>
              <w:rPr>
                <w:b w:val="false"/>
                <w:bCs w:val="false"/>
                <w:color w:val="000000"/>
                <w:sz w:val="20"/>
                <w:szCs w:val="20"/>
              </w:rPr>
              <w:t xml:space="preserve">Trigger — blocks creating a tenant_invites row that would exceed licenses.seats.</w:t>
            </w:r>
          </w:p>
        </w:tc>
      </w:tr>
      <w:tr>
        <w:tc>
          <w:tcPr>
            <w:tcW w:type="dxa" w:w="3200"/>
            <w:tcMar>
              <w:top w:type="dxa" w:w="80"/>
              <w:left w:type="dxa" w:w="100"/>
              <w:bottom w:type="dxa" w:w="80"/>
              <w:right w:type="dxa" w:w="100"/>
            </w:tcMar>
          </w:tcPr>
          <w:p>
            <w:r>
              <w:rPr>
                <w:b w:val="false"/>
                <w:bCs w:val="false"/>
                <w:color w:val="000000"/>
                <w:sz w:val="20"/>
                <w:szCs w:val="20"/>
              </w:rPr>
              <w:t xml:space="preserve">increment_ai_usage()</w:t>
            </w:r>
          </w:p>
        </w:tc>
        <w:tc>
          <w:tcPr>
            <w:tcW w:type="dxa" w:w="6360"/>
            <w:tcMar>
              <w:top w:type="dxa" w:w="80"/>
              <w:left w:type="dxa" w:w="100"/>
              <w:bottom w:type="dxa" w:w="80"/>
              <w:right w:type="dxa" w:w="100"/>
            </w:tcMar>
          </w:tcPr>
          <w:p>
            <w:r>
              <w:rPr>
                <w:b w:val="false"/>
                <w:bCs w:val="false"/>
                <w:color w:val="000000"/>
                <w:sz w:val="20"/>
                <w:szCs w:val="20"/>
              </w:rPr>
              <w:t xml:space="preserve">Increments and checks the caller's daily AI-call counter against their plan's limit; blocks if the tenant's license is cancelled.</w:t>
            </w:r>
          </w:p>
        </w:tc>
      </w:tr>
      <w:tr>
        <w:tc>
          <w:tcPr>
            <w:tcW w:type="dxa" w:w="3200"/>
            <w:tcMar>
              <w:top w:type="dxa" w:w="80"/>
              <w:left w:type="dxa" w:w="100"/>
              <w:bottom w:type="dxa" w:w="80"/>
              <w:right w:type="dxa" w:w="100"/>
            </w:tcMar>
          </w:tcPr>
          <w:p>
            <w:r>
              <w:rPr>
                <w:b w:val="false"/>
                <w:bCs w:val="false"/>
                <w:color w:val="000000"/>
                <w:sz w:val="20"/>
                <w:szCs w:val="20"/>
              </w:rPr>
              <w:t xml:space="preserve">tenant_storage_estimate_mb(tenant_id)</w:t>
            </w:r>
          </w:p>
        </w:tc>
        <w:tc>
          <w:tcPr>
            <w:tcW w:type="dxa" w:w="6360"/>
            <w:tcMar>
              <w:top w:type="dxa" w:w="80"/>
              <w:left w:type="dxa" w:w="100"/>
              <w:bottom w:type="dxa" w:w="80"/>
              <w:right w:type="dxa" w:w="100"/>
            </w:tcMar>
          </w:tcPr>
          <w:p>
            <w:r>
              <w:rPr>
                <w:b w:val="false"/>
                <w:bCs w:val="false"/>
                <w:color w:val="000000"/>
                <w:sz w:val="20"/>
                <w:szCs w:val="20"/>
              </w:rPr>
              <w:t xml:space="preserve">Estimated storage in MB from stored text length (ai_documents.raw_text + ai_drafts.content).</w:t>
            </w:r>
          </w:p>
        </w:tc>
      </w:tr>
      <w:tr>
        <w:tc>
          <w:tcPr>
            <w:tcW w:type="dxa" w:w="3200"/>
            <w:tcMar>
              <w:top w:type="dxa" w:w="80"/>
              <w:left w:type="dxa" w:w="100"/>
              <w:bottom w:type="dxa" w:w="80"/>
              <w:right w:type="dxa" w:w="100"/>
            </w:tcMar>
          </w:tcPr>
          <w:p>
            <w:r>
              <w:rPr>
                <w:b w:val="false"/>
                <w:bCs w:val="false"/>
                <w:color w:val="000000"/>
                <w:sz w:val="20"/>
                <w:szCs w:val="20"/>
              </w:rPr>
              <w:t xml:space="preserve">my_usage_summary()</w:t>
            </w:r>
          </w:p>
        </w:tc>
        <w:tc>
          <w:tcPr>
            <w:tcW w:type="dxa" w:w="6360"/>
            <w:tcMar>
              <w:top w:type="dxa" w:w="80"/>
              <w:left w:type="dxa" w:w="100"/>
              <w:bottom w:type="dxa" w:w="80"/>
              <w:right w:type="dxa" w:w="100"/>
            </w:tcMar>
          </w:tcPr>
          <w:p>
            <w:r>
              <w:rPr>
                <w:b w:val="false"/>
                <w:bCs w:val="false"/>
                <w:color w:val="000000"/>
                <w:sz w:val="20"/>
                <w:szCs w:val="20"/>
              </w:rPr>
              <w:t xml:space="preserve">Convenience RPC: the caller's plan, storage used/limit, and seats used/limit, in one call.</w:t>
            </w:r>
          </w:p>
        </w:tc>
      </w:tr>
      <w:tr>
        <w:tc>
          <w:tcPr>
            <w:tcW w:type="dxa" w:w="3200"/>
            <w:tcMar>
              <w:top w:type="dxa" w:w="80"/>
              <w:left w:type="dxa" w:w="100"/>
              <w:bottom w:type="dxa" w:w="80"/>
              <w:right w:type="dxa" w:w="100"/>
            </w:tcMar>
          </w:tcPr>
          <w:p>
            <w:r>
              <w:rPr>
                <w:b w:val="false"/>
                <w:bCs w:val="false"/>
                <w:color w:val="000000"/>
                <w:sz w:val="20"/>
                <w:szCs w:val="20"/>
              </w:rPr>
              <w:t xml:space="preserve">get_invite_info(token)</w:t>
            </w:r>
          </w:p>
        </w:tc>
        <w:tc>
          <w:tcPr>
            <w:tcW w:type="dxa" w:w="6360"/>
            <w:tcMar>
              <w:top w:type="dxa" w:w="80"/>
              <w:left w:type="dxa" w:w="100"/>
              <w:bottom w:type="dxa" w:w="80"/>
              <w:right w:type="dxa" w:w="100"/>
            </w:tcMar>
          </w:tcPr>
          <w:p>
            <w:r>
              <w:rPr>
                <w:b w:val="false"/>
                <w:bCs w:val="false"/>
                <w:color w:val="000000"/>
                <w:sz w:val="20"/>
                <w:szCs w:val="20"/>
              </w:rPr>
              <w:t xml:space="preserve">Anon-callable — resolves an invite token to the tenant name, invited email, role and validity, without exposing the underlying row.</w:t>
            </w:r>
          </w:p>
        </w:tc>
      </w:tr>
      <w:tr>
        <w:tc>
          <w:tcPr>
            <w:tcW w:type="dxa" w:w="3200"/>
            <w:tcMar>
              <w:top w:type="dxa" w:w="80"/>
              <w:left w:type="dxa" w:w="100"/>
              <w:bottom w:type="dxa" w:w="80"/>
              <w:right w:type="dxa" w:w="100"/>
            </w:tcMar>
          </w:tcPr>
          <w:p>
            <w:r>
              <w:rPr>
                <w:b w:val="false"/>
                <w:bCs w:val="false"/>
                <w:color w:val="000000"/>
                <w:sz w:val="20"/>
                <w:szCs w:val="20"/>
              </w:rPr>
              <w:t xml:space="preserve">handle_new_user()</w:t>
            </w:r>
          </w:p>
        </w:tc>
        <w:tc>
          <w:tcPr>
            <w:tcW w:type="dxa" w:w="6360"/>
            <w:tcMar>
              <w:top w:type="dxa" w:w="80"/>
              <w:left w:type="dxa" w:w="100"/>
              <w:bottom w:type="dxa" w:w="80"/>
              <w:right w:type="dxa" w:w="100"/>
            </w:tcMar>
          </w:tcPr>
          <w:p>
            <w:r>
              <w:rPr>
                <w:b w:val="false"/>
                <w:bCs w:val="false"/>
                <w:color w:val="000000"/>
                <w:sz w:val="20"/>
                <w:szCs w:val="20"/>
              </w:rPr>
              <w:t xml:space="preserve">Trigger on auth.users — creates a new tenant+license+profile on normal signup, or joins an existing tenant if raw_user_meta_data carries a valid, matching invite_token.</w:t>
            </w:r>
          </w:p>
        </w:tc>
      </w:tr>
      <w:tr>
        <w:tc>
          <w:tcPr>
            <w:tcW w:type="dxa" w:w="3200"/>
            <w:tcMar>
              <w:top w:type="dxa" w:w="80"/>
              <w:left w:type="dxa" w:w="100"/>
              <w:bottom w:type="dxa" w:w="80"/>
              <w:right w:type="dxa" w:w="100"/>
            </w:tcMar>
          </w:tcPr>
          <w:p>
            <w:r>
              <w:rPr>
                <w:b w:val="false"/>
                <w:bCs w:val="false"/>
                <w:color w:val="000000"/>
                <w:sz w:val="20"/>
                <w:szCs w:val="20"/>
              </w:rPr>
              <w:t xml:space="preserve">log_tenant_mutation() / log_tenant_admin_action() / log_license_admin_action() / log_platform_admin_grant()</w:t>
            </w:r>
          </w:p>
        </w:tc>
        <w:tc>
          <w:tcPr>
            <w:tcW w:type="dxa" w:w="6360"/>
            <w:tcMar>
              <w:top w:type="dxa" w:w="80"/>
              <w:left w:type="dxa" w:w="100"/>
              <w:bottom w:type="dxa" w:w="80"/>
              <w:right w:type="dxa" w:w="100"/>
            </w:tcMar>
          </w:tcPr>
          <w:p>
            <w:r>
              <w:rPr>
                <w:b w:val="false"/>
                <w:bCs w:val="false"/>
                <w:color w:val="000000"/>
                <w:sz w:val="20"/>
                <w:szCs w:val="20"/>
              </w:rPr>
              <w:t xml:space="preserve">Triggers writing audit_log entries for business-data changes and platform-admin actions.</w:t>
            </w:r>
          </w:p>
        </w:tc>
      </w:tr>
      <w:tr>
        <w:tc>
          <w:tcPr>
            <w:tcW w:type="dxa" w:w="3200"/>
            <w:tcMar>
              <w:top w:type="dxa" w:w="80"/>
              <w:left w:type="dxa" w:w="100"/>
              <w:bottom w:type="dxa" w:w="80"/>
              <w:right w:type="dxa" w:w="100"/>
            </w:tcMar>
          </w:tcPr>
          <w:p>
            <w:r>
              <w:rPr>
                <w:b w:val="false"/>
                <w:bCs w:val="false"/>
                <w:color w:val="000000"/>
                <w:sz w:val="20"/>
                <w:szCs w:val="20"/>
              </w:rPr>
              <w:t xml:space="preserve">log_auth_event(...)</w:t>
            </w:r>
          </w:p>
        </w:tc>
        <w:tc>
          <w:tcPr>
            <w:tcW w:type="dxa" w:w="6360"/>
            <w:tcMar>
              <w:top w:type="dxa" w:w="80"/>
              <w:left w:type="dxa" w:w="100"/>
              <w:bottom w:type="dxa" w:w="80"/>
              <w:right w:type="dxa" w:w="100"/>
            </w:tcMar>
          </w:tcPr>
          <w:p>
            <w:r>
              <w:rPr>
                <w:b w:val="false"/>
                <w:bCs w:val="false"/>
                <w:color w:val="000000"/>
                <w:sz w:val="20"/>
                <w:szCs w:val="20"/>
              </w:rPr>
              <w:t xml:space="preserve">Called by the audit-log-auth edge function to record login/logout/signup/failed-login events.</w:t>
            </w:r>
          </w:p>
        </w:tc>
      </w:tr>
    </w:tbl>
    <w:p>
      <w:pPr>
        <w:spacing w:after="160"/>
      </w:pPr>
      <w:r>
        <w:t xml:space="preserve"/>
      </w:r>
    </w:p>
    <w:p>
      <w:pPr>
        <w:spacing w:after="160"/>
      </w:pPr>
      <w:r>
        <w:rPr>
          <w:i/>
          <w:iCs/>
          <w:color w:val="5B5B5B"/>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B5E34" w:sz="6" w:space="4"/>
      </w:pBdr>
      <w:spacing w:after="200" w:before="400"/>
    </w:pPr>
    <w:rPr>
      <w:rFonts w:ascii="Calibri" w:cs="Calibri" w:eastAsia="Calibri" w:hAnsi="Calibri"/>
      <w:b/>
      <w:bCs/>
      <w:color w:val="121B33"/>
      <w:sz w:val="32"/>
      <w:szCs w:val="32"/>
    </w:rPr>
  </w:style>
  <w:style w:type="paragraph" w:styleId="Heading2">
    <w:name w:val="Heading 2"/>
    <w:basedOn w:val="Normal"/>
    <w:next w:val="Normal"/>
    <w:qFormat/>
    <w:rPr>
      <w:rFonts w:ascii="Calibri" w:cs="Calibri" w:eastAsia="Calibri" w:hAnsi="Calibri"/>
      <w:b/>
      <w:bCs/>
      <w:color w:val="121B33"/>
      <w:sz w:val="26"/>
      <w:szCs w:val="26"/>
    </w:rPr>
  </w:style>
  <w:style w:type="paragraph" w:styleId="Heading3">
    <w:name w:val="Heading 3"/>
    <w:basedOn w:val="Normal"/>
    <w:next w:val="Normal"/>
    <w:qFormat/>
    <w:rPr>
      <w:rFonts w:ascii="Calibri" w:cs="Calibri" w:eastAsia="Calibri" w:hAnsi="Calibri"/>
      <w:b/>
      <w:bCs/>
      <w:color w:val="8B5E3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2026-08-19T07:41:27.837Z</dcterms:created>
  <dcterms:modified xsi:type="dcterms:W3CDTF">2026-08-19T07:41:27.847Z</dcterms:modified>
</cp:coreProperties>
</file>

<file path=docProps/custom.xml><?xml version="1.0" encoding="utf-8"?>
<Properties xmlns="http://schemas.openxmlformats.org/officeDocument/2006/custom-properties" xmlns:vt="http://schemas.openxmlformats.org/officeDocument/2006/docPropsVTypes"/>
</file>