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УТВЕРЖДЕНО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П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ротоколом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Совета № 2025-07-08</w:t>
      </w:r>
    </w:p>
    <w:p>
      <w:pPr>
        <w:pStyle w:val="normal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ПК 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ТЕСТ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от 8 июля 2025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ПОЛОЖЕНИЕ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 порядке и правилах использования простой электронной подписи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Потребительского Кооператива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«ТЕСТ»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ТЕРМИНЫ И ОПРЕДЕЛЕНИЯ.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1.1. «Правила» - настоящие правила об использовании простой электронной подписи.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1.2. «Электронный документ» (ЭД) – документированная информация Общества, представленная в электронно-цифровой форме, то есть в виде, пригодном для восприятия пайщиком Общества с использованием электронных вычислительных машин, а также для передачи по информационно –телекоммуникационным сетям или обработки в информационных системах.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1.3. «Электронная подпись» (ЭП)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однозначного определения лица, подписывающего информацию.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1.4. «Простая электронная подпись» (ПЭП) – буквенно-цифровую строка, которая зашифрована стандартным алгоритмом, описанным в Приложении №1 к настоящему Положению. Электронная подпись позволяет идентифицировать пользователя, а также подписывать документы в электронном виде.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1.5. «Электронный документооборот» (ЭД) – процесс обмена электронными документами, подписанными ПЭП, между Обществом и пайщиками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1.6. «Интернет-Cайт» (Сайт) – сайт Общества  в сети Интернет, доступ к которому осуществляется по адресу: https://м.coop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1.7. «Личный кабинет» (ЛК) - поддерживаемая Сервисом информационная подсистема Сайта, представляющая собой личную страницу Пользователя, позволяющая Сервису и Пользователю осуществлять индивидуальное дистанционное взаимодействие в электронной форме. Доступ к информации в ЛК происходит с помощью Логина и пароля, известного только Пользователю.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1.8. «Пользователь» - пайщик Потребительского Кооператива «ТЕСТ» (далее ПК «ТЕСТ»), уполномоченный сотрудник ПК «ТЕСТ» на основании Решения Совета или Собрания уполномоченных ПК «ТЕСТ».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1.9. «Сервис» - сайт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1.10. «Логин» - символьная комбинация, являющаяся идентификатором Пользователя для входа в Личный кабинет. Логином может быть адрес электронной почты.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1.11. «Согласие»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- подтверждение Пользователем согласия с настоящим Положением.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ОБЩИЕ ПОЛОЖЕНИЯ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2.1. Настоящее Положение  определяют порядок и правила применения ПЭП в процессе использования Сайта для Электронного документооборота между </w:t>
      </w:r>
      <w:r>
        <w:rPr>
          <w:sz w:val="22"/>
          <w:szCs w:val="22"/>
        </w:rPr>
        <w:t>Пользователями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Обществом в рамках своих гражданско-правовых отношений, в том числе во исполнение своих обязательств согласно Устава ПК «ТЕСТ», решений Общих Собраний и Совета Общества </w:t>
      </w:r>
      <w:r>
        <w:rPr>
          <w:sz w:val="22"/>
          <w:szCs w:val="22"/>
        </w:rPr>
        <w:t>а также является по отношению к Пользователю Офертой от Общества, где Общество является Оферентом, а Пользователь является Акцептантом.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2.2. Настоящее Положение определяет права и обязанности Общества и Пользователей, возникающие в связи с формированием, отправкой и получением Электронных документов с использованием Сайта.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2.3. В соответствии с настоящим Положением </w:t>
      </w:r>
      <w:r>
        <w:rPr>
          <w:sz w:val="22"/>
          <w:szCs w:val="22"/>
        </w:rPr>
        <w:t>Пользователи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 признают  сформированные (полученные) Электронные документы, подписанные Простой электронной подписью, равнозначными аналогичным документам на бумажных носителях, подписанным собственноручной подписью.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2.4. Электронный документооборот в Обществе  осуществляется в соответствии с Гражданским кодексом Российской Федерации, Федеральным законом от 06.04.2011 № 63-ФЗ "Об электронной подписи", Федеральным законом РФ "О потребительской кооперации (потребительских обществах, их союзах) в Российской Федерации" от 19.06.1992 N 3085-1.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2.5. Настоящее Положение определяет, что лица, подписавшие Электронный документ, с использованием ПЭП, уполномочены на подписание таких документов, в соответствии с полномочиями предусмотренными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2.6. Электронный документ, подписанный ПЭП, может использоваться в качестве доказательства в судебных разбирательствах, предоставляться в государственные органы по запросам последних.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2.7. Электронный документ может иметь неограниченное количество экземпляров, в том числе выполненных на машиночитаемых носителях различного типа. Для создания дополнительного экземпляра ЭД осуществляется воспроизводство содержания документа. Все экземпляры ЭД являются подлинниками данного ЭД. Подлинник ЭД считается не существующим в случаях, если ни в Обществе, ни у Пользователя не существует ни одного экземпляра данного ЭД и, восстановление таковых невозможно.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 ПОРЯДОК ИСПОЛЬЗОВАНИЯ ПРОСТОЙ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3.1. Простая электронная подпись используется Пользователями для подписания исключительно Электронных документов Общества, формирование и обмен которыми возможен на Интернет-сайте https://м.coop и взаимодействия между </w:t>
      </w:r>
      <w:r>
        <w:rPr>
          <w:sz w:val="22"/>
          <w:szCs w:val="22"/>
        </w:rPr>
        <w:t>Пользователями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и Обществом.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3.2. Электронный документ считается подписанным непосредственно Пользователем в случае если он создан и(или) отправлен с использованием Личного кабинета Пользователя, а также если Интернет-Сайт Сервиса верифицировал  введенную Пользователем ПЭП.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3.3. Любая информация, подписанная Простой электронной подписью Пользователя, признается Электронным документом, равнозначным документу на бумажном носителе, подписанному собственноручной подписью и, соответственно, порождает идентичные такому документу юридические последствия.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3.4. Все электронные документы, загруженные Сервисом в Личный кабинет Пользователя, считаются полученными Пользователем с момента их загрузки в Личный кабинет. Пользователь обязуется своевременно отслеживать получение электронных документов, загруженных Сервисом в Личный кабинет Пользователя.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3.5. Одной ПЭП могут быть подписаны несколько связанных между собой Электронных документов (пакет Электронных документов).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3.6. Программное обеспечение, оборудование и средства, используемые Сервисом в рамках систем Электронного документооборота в Обществе, достаточны для защиты информации и Электронных документов от несанкционированного доступа, внесения изменений, подтверждения подлинности и авторства Электронных документов.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ПРАВИЛА ПРОВЕРКИ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4.1. В целях сохранения сведений о юридически значимых действиях, совершенных Пользователями, Сервис осуществляет хранение Электронных документов, которые были созданы, переданы или приняты Пользователями в процессе использования Сайта в Личном кабинете.  Автоматизированная система протоколирования (создания логов) активности Пользователей позволяет Обществу достоверно определить каким Пользователем и в какое время был сформирован, подписан или отправлен тот или иной электронный документ.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4.2. Правила определяют, что указанные в пункте 3.2 настоящих Правил способы определения Пользователя, создавшего и подписавшего электронный документ, являются достаточными для целей достоверной идентификации Пользователя и исполнения Правил, а также могут быть использованы Сервисом в качестве доказательств при разрешении споров, в том числе судебных.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 ПОРЯДОК ВЗАИМОДЕЙСТВИЯ ОБЩЕСТВА И ПОЛЬЗОВАТЕЛЕЙ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 Общество  и Пользователи придерживаются следующего порядка и правил взаимодействия: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5.1.1. Соблюдение конфиденциальности ПЭП, логинов и паролей Пользователей для входа в личные кабинеты;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5.1.2. Информирование о невозможности обмена документами в электронном виде, подписанными ПЭП, в случае технических сбоев. В период действия такого сбоя Общество и Пользователи производят обмен документами на бумажном носителе с подписанием собственноручной подписью;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5.1.3. Обязательное ознакомление и согласие с содержанием электронного документа в полном объеме;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5.1.4. При возникновении подозрений в нарушении секретности, изменение Паролей для доступа к Личному кабинету с использованием функционала Сайта;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5.1.5. Незамедлительное уведомление Сервиса о компрометации ПЭП Пользователя путем обращения к Администратору Сайта;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5.1.6. Обеспечение информационной безопасности и антивирусной защиты на оборудовании (компьютер, мобильное устройство), подключенном к сети интернет, при генерации и использовании ПЭП;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5.1.7. Выдача по первому требованию на бумажном носителе копии электронных документов на бумажном носителе, в срок не позднее 30 (тридцати) календарных дней после получения соответствующего требования;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5.1.8. При выходе или исключении Пользователя из состава пайщиков Общества, ПЭП аннулируется.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“</w:t>
      </w:r>
      <w:r>
        <w:rPr>
          <w:b/>
          <w:sz w:val="22"/>
          <w:szCs w:val="22"/>
        </w:rPr>
        <w:t xml:space="preserve">СОГЛАСЕН” </w:t>
      </w:r>
      <w:r>
        <w:rPr>
          <w:sz w:val="22"/>
          <w:szCs w:val="22"/>
        </w:rPr>
        <w:t xml:space="preserve"> __________________________________ /ФИО/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Дата: __ ___________ 20___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ПРИЛОЖЕНИЕ № 1 к Положению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Технические характеристики электронной подписи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Электронная подпись генерируется Пользователем в приложении и является и является математическим двухкаскадным прокурсором секретного ключа, для получения которого используется одна из эллиптических кривых - secp256k1 или p256.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Приватный ключ генерируется случайным образом криптографической библиотекой на стороне клиента без передачи на сервер и конвертируется в массив байтов (Uint8Array) длиной 32 байта для дальнейшего использования. </w:t>
        <w:b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Для подписания документов используется алгоритм ECDSA (Elliptic Curve Digital Signature Algorithm) с SHA-256 в качестве хэш-функции. Процесс подписания включает: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76" w:before="0" w:after="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Хэширование документа с использованием алгоритма SHA-256.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Применение приватного ключа пользователя для создания цифровой подписи на основе алгоритма эллиптической кривой ECDSA.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Верификация подписи проводится с использованием публичного ключа, который генерируется одновременно с приватным и передается на сервер. Алгоритм верификации цифровой подписи включает: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76" w:before="0" w:after="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Получение публичного ключа из подписи.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76" w:before="0" w:after="140"/>
        <w:ind w:hanging="283" w:left="7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Сравнение результата с ранее сохраненным публичным ключом , чтобы подтвердить подлинность подписи.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Электронная подпись соответствует стандартам безопасности и криптографическим требованиям, обеспечивая высокую степень защиты данных. Процесс полностью совместим с международными стандартами и большинством публичных сетей.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0" w:right="850" w:gutter="0" w:header="0" w:top="1133" w:footer="851" w:bottom="113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1"/>
    <w:next w:val="normal1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1"/>
    <w:next w:val="normal1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0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11">
    <w:name w:val="normal1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11">
    <w:name w:val="Колонтитул"/>
    <w:basedOn w:val="normal1"/>
    <w:qFormat/>
    <w:pPr/>
    <w:rPr/>
  </w:style>
  <w:style w:type="paragraph" w:styleId="Footer">
    <w:name w:val="Footer"/>
    <w:basedOn w:val="Style11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QvIJ8t0wxiy7ag/oMTDnhHPplg==">CgMxLjA4AHIhMUs4OHUwMDNHOUF2MHhvaE0xMFIxYk56aW9mSHRaUGNl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LibreOffice/24.2.4.2$MacOSX_X86_64 LibreOffice_project/51a6219feb6075d9a4c46691dcfe0cd9c4fff3c2</Application>
  <AppVersion>15.0000</AppVersion>
  <Pages>4</Pages>
  <Words>1129</Words>
  <Characters>8565</Characters>
  <CharactersWithSpaces>9650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2025-01-23T17:27:35Z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